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5C" w:rsidRPr="00ED3D5C" w:rsidRDefault="00ED3D5C" w:rsidP="00ED3D5C">
      <w:pPr>
        <w:spacing w:before="240" w:after="240"/>
        <w:ind w:firstLine="567"/>
        <w:jc w:val="both"/>
        <w:rPr>
          <w:rFonts w:ascii="Sylfaen" w:eastAsia="Times New Roman" w:hAnsi="Sylfaen" w:cs="Times New Roman"/>
          <w:b/>
          <w:sz w:val="20"/>
          <w:szCs w:val="20"/>
        </w:rPr>
      </w:pPr>
      <w:r w:rsidRPr="00ED3D5C">
        <w:rPr>
          <w:rFonts w:ascii="Sylfaen" w:eastAsia="Times New Roman" w:hAnsi="Sylfaen" w:cs="Times New Roman"/>
          <w:b/>
          <w:sz w:val="20"/>
          <w:szCs w:val="20"/>
          <w:lang w:val="ka-GE"/>
        </w:rPr>
        <w:t xml:space="preserve">მიზანშეწონილია გადაიხედოს პროგრამის ფარგლებში ამა თუ იმ კატეგორიის ბენეფიციართა მომსახურების პირობები, </w:t>
      </w:r>
      <w:r>
        <w:rPr>
          <w:rFonts w:ascii="Sylfaen" w:eastAsia="Times New Roman" w:hAnsi="Sylfaen" w:cs="Times New Roman"/>
          <w:b/>
          <w:sz w:val="20"/>
          <w:szCs w:val="20"/>
          <w:lang w:val="ka-GE"/>
        </w:rPr>
        <w:t>ანაზღაურებადი მომსახურების მოცულობა და გამონაკლისეები, მაგალითად:</w:t>
      </w:r>
    </w:p>
    <w:p w:rsidR="00ED3D5C" w:rsidRPr="008A3442" w:rsidRDefault="00ED3D5C" w:rsidP="00ED3D5C">
      <w:pPr>
        <w:pStyle w:val="ListParagraph"/>
        <w:numPr>
          <w:ilvl w:val="0"/>
          <w:numId w:val="2"/>
        </w:numPr>
        <w:spacing w:before="240" w:after="240"/>
        <w:ind w:left="0" w:firstLine="633"/>
        <w:contextualSpacing w:val="0"/>
        <w:jc w:val="both"/>
        <w:rPr>
          <w:rFonts w:ascii="Sylfaen" w:eastAsia="Times New Roman" w:hAnsi="Sylfaen" w:cs="Times New Roman"/>
          <w:sz w:val="20"/>
          <w:szCs w:val="20"/>
        </w:rPr>
      </w:pPr>
      <w:r>
        <w:rPr>
          <w:rFonts w:ascii="Sylfaen" w:eastAsia="Times New Roman" w:hAnsi="Sylfaen" w:cs="Times New Roman"/>
          <w:sz w:val="20"/>
          <w:szCs w:val="20"/>
          <w:lang w:val="ka-GE"/>
        </w:rPr>
        <w:t xml:space="preserve">განსახილველია ბარიატრიული ოპერაციების ჩართვა გამონაკლისების სიაში ან კიდევ, ბენეფიციარების პროგრამის პირობების გაუარესების თანამდევი მოვლენების თავიდან ასაცილებლად, ამ ტიპის ოპერაციებისთვის განისაზღვროს ხანგრძლივი მოცდის პერიოდი და საჭირო იყოს მულტიდისციპლინური </w:t>
      </w:r>
      <w:r w:rsidR="008A3442">
        <w:rPr>
          <w:rFonts w:ascii="Sylfaen" w:eastAsia="Times New Roman" w:hAnsi="Sylfaen" w:cs="Times New Roman"/>
          <w:sz w:val="20"/>
          <w:szCs w:val="20"/>
          <w:lang w:val="ka-GE"/>
        </w:rPr>
        <w:t>ჯგუფის გადაწყვეტილება (</w:t>
      </w:r>
      <w:r w:rsidR="008A3442">
        <w:rPr>
          <w:rFonts w:ascii="Sylfaen" w:eastAsia="Times New Roman" w:hAnsi="Sylfaen" w:cs="Times New Roman"/>
          <w:sz w:val="20"/>
          <w:szCs w:val="20"/>
        </w:rPr>
        <w:t xml:space="preserve">NICE </w:t>
      </w:r>
      <w:r w:rsidR="008A3442">
        <w:rPr>
          <w:rFonts w:ascii="Sylfaen" w:eastAsia="Times New Roman" w:hAnsi="Sylfaen" w:cs="Times New Roman"/>
          <w:sz w:val="20"/>
          <w:szCs w:val="20"/>
          <w:lang w:val="ka-GE"/>
        </w:rPr>
        <w:t xml:space="preserve">გაიდლაინის მიხედვით მხოლოდ ამ მესამე საფეხურის გავლის შემდეგ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w:t>
      </w:r>
    </w:p>
    <w:p w:rsidR="008A3442" w:rsidRDefault="00181980" w:rsidP="008A3442">
      <w:pPr>
        <w:pStyle w:val="ListParagraph"/>
        <w:spacing w:before="240" w:after="240"/>
        <w:ind w:left="633"/>
        <w:contextualSpacing w:val="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2015</w:t>
      </w:r>
      <w:r w:rsidR="008A3442">
        <w:rPr>
          <w:rFonts w:ascii="Sylfaen" w:eastAsia="Times New Roman" w:hAnsi="Sylfaen" w:cs="Times New Roman"/>
          <w:sz w:val="20"/>
          <w:szCs w:val="20"/>
          <w:lang w:val="ka-GE"/>
        </w:rPr>
        <w:t>-2019 წლებში ამ ტიპის ოპერაციების ხარჯების</w:t>
      </w:r>
      <w:r w:rsidR="006A6FD1">
        <w:rPr>
          <w:rFonts w:ascii="Sylfaen" w:eastAsia="Times New Roman" w:hAnsi="Sylfaen" w:cs="Times New Roman"/>
          <w:sz w:val="20"/>
          <w:szCs w:val="20"/>
          <w:lang w:val="ka-GE"/>
        </w:rPr>
        <w:t xml:space="preserve"> ჰოსპიტაზალიზაციის თარიღის მიხედვით</w:t>
      </w:r>
      <w:r w:rsidR="008A3442">
        <w:rPr>
          <w:rFonts w:ascii="Sylfaen" w:eastAsia="Times New Roman" w:hAnsi="Sylfaen" w:cs="Times New Roman"/>
          <w:sz w:val="20"/>
          <w:szCs w:val="20"/>
          <w:lang w:val="ka-GE"/>
        </w:rPr>
        <w:t xml:space="preserve"> შემდეგია:</w:t>
      </w:r>
    </w:p>
    <w:p w:rsidR="008A3442" w:rsidRPr="006A6FD1" w:rsidRDefault="008A3442" w:rsidP="008A3442">
      <w:pPr>
        <w:pStyle w:val="ListParagraph"/>
        <w:spacing w:before="240" w:after="240"/>
        <w:ind w:left="633"/>
        <w:contextualSpacing w:val="0"/>
        <w:jc w:val="both"/>
        <w:rPr>
          <w:rFonts w:ascii="Sylfaen" w:eastAsia="Times New Roman" w:hAnsi="Sylfaen" w:cs="Times New Roman"/>
          <w:sz w:val="20"/>
          <w:szCs w:val="20"/>
        </w:rPr>
      </w:pPr>
      <w:r>
        <w:rPr>
          <w:noProof/>
        </w:rPr>
        <w:drawing>
          <wp:inline distT="0" distB="0" distL="0" distR="0" wp14:anchorId="7F43495C" wp14:editId="4525C60E">
            <wp:extent cx="62865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3442" w:rsidRPr="008A3442" w:rsidRDefault="008A3442" w:rsidP="008A3442">
      <w:pPr>
        <w:pStyle w:val="ListParagraph"/>
        <w:rPr>
          <w:rFonts w:ascii="Sylfaen" w:eastAsia="Times New Roman" w:hAnsi="Sylfaen" w:cs="Times New Roman"/>
          <w:sz w:val="20"/>
          <w:szCs w:val="20"/>
        </w:rPr>
      </w:pPr>
    </w:p>
    <w:p w:rsidR="00181980" w:rsidRDefault="006A6FD1" w:rsidP="00181980">
      <w:pPr>
        <w:pStyle w:val="ListParagraph"/>
        <w:numPr>
          <w:ilvl w:val="0"/>
          <w:numId w:val="2"/>
        </w:numPr>
        <w:spacing w:before="240" w:after="240"/>
        <w:ind w:left="0" w:firstLine="567"/>
        <w:contextualSpacing w:val="0"/>
        <w:jc w:val="both"/>
        <w:rPr>
          <w:rFonts w:ascii="Sylfaen" w:eastAsia="Times New Roman" w:hAnsi="Sylfaen" w:cs="Times New Roman"/>
          <w:sz w:val="20"/>
          <w:szCs w:val="20"/>
          <w:lang w:val="ka-GE"/>
        </w:rPr>
      </w:pPr>
      <w:r w:rsidRPr="0031168F">
        <w:rPr>
          <w:rFonts w:ascii="Sylfaen" w:eastAsia="Times New Roman" w:hAnsi="Sylfaen" w:cs="Times New Roman"/>
          <w:sz w:val="20"/>
          <w:szCs w:val="20"/>
          <w:lang w:val="ka-GE"/>
        </w:rPr>
        <w:t>დადგენ</w:t>
      </w:r>
      <w:r>
        <w:rPr>
          <w:rFonts w:ascii="Sylfaen" w:eastAsia="Times New Roman" w:hAnsi="Sylfaen" w:cs="Times New Roman"/>
          <w:sz w:val="20"/>
          <w:szCs w:val="20"/>
          <w:lang w:val="ka-GE"/>
        </w:rPr>
        <w:t>ი</w:t>
      </w:r>
      <w:r w:rsidRPr="0031168F">
        <w:rPr>
          <w:rFonts w:ascii="Sylfaen" w:eastAsia="Times New Roman" w:hAnsi="Sylfaen" w:cs="Times New Roman"/>
          <w:sz w:val="20"/>
          <w:szCs w:val="20"/>
          <w:lang w:val="ka-GE"/>
        </w:rPr>
        <w:t xml:space="preserve">ლების დანართი 1.1 და დანართი 1.4-ის პირობებით მოსარგებლეებისათვის არ ექვემდებარება ანაზღაურებას „აბლაციის“ ხარჯები. </w:t>
      </w:r>
      <w:r w:rsidRPr="006A6FD1">
        <w:rPr>
          <w:rFonts w:ascii="Sylfaen" w:eastAsia="Times New Roman" w:hAnsi="Sylfaen" w:cs="Times New Roman"/>
          <w:b/>
          <w:i/>
          <w:sz w:val="20"/>
          <w:szCs w:val="20"/>
          <w:lang w:val="ka-GE"/>
        </w:rPr>
        <w:t>გადასახედია არაკარდიოლოგიური პროფილის აბლაციის დაფინანსება, მკურნალობის ალტერნატიული შედეგიანი მეთოდების არსებობისას, დანართი 1.3 პირობებით მოსარგებლეთათვის.</w:t>
      </w:r>
      <w:r w:rsidR="00181980">
        <w:rPr>
          <w:rFonts w:ascii="Sylfaen" w:eastAsia="Times New Roman" w:hAnsi="Sylfaen" w:cs="Times New Roman"/>
          <w:b/>
          <w:i/>
          <w:sz w:val="20"/>
          <w:szCs w:val="20"/>
          <w:lang w:val="ka-GE"/>
        </w:rPr>
        <w:t xml:space="preserve"> </w:t>
      </w:r>
      <w:r w:rsidR="00181980">
        <w:rPr>
          <w:rFonts w:ascii="Sylfaen" w:eastAsia="Times New Roman" w:hAnsi="Sylfaen" w:cs="Times New Roman"/>
          <w:sz w:val="20"/>
          <w:szCs w:val="20"/>
          <w:lang w:val="ka-GE"/>
        </w:rPr>
        <w:t xml:space="preserve">ყოველწლიურად იზრდება ქვემო კიდურების ვენების ვარიკოზის დროს ამ ტიპის ოპერაციებზე განაცხადების რაოდენობა. </w:t>
      </w:r>
    </w:p>
    <w:p w:rsidR="006A6FD1" w:rsidRPr="00181980" w:rsidRDefault="00181980" w:rsidP="00181980">
      <w:pPr>
        <w:spacing w:before="240" w:after="240"/>
        <w:ind w:firstLine="567"/>
        <w:jc w:val="both"/>
        <w:rPr>
          <w:rFonts w:ascii="Sylfaen" w:eastAsia="Times New Roman" w:hAnsi="Sylfaen" w:cs="Times New Roman"/>
          <w:sz w:val="20"/>
          <w:szCs w:val="20"/>
          <w:lang w:val="ka-GE"/>
        </w:rPr>
      </w:pPr>
      <w:r w:rsidRPr="00181980">
        <w:rPr>
          <w:rFonts w:ascii="Sylfaen" w:eastAsia="Times New Roman" w:hAnsi="Sylfaen" w:cs="Times New Roman"/>
          <w:sz w:val="20"/>
          <w:szCs w:val="20"/>
          <w:lang w:val="ka-GE"/>
        </w:rPr>
        <w:t>2015-2019 წლებში ამ ტიპის ოპერაციების ხარჯების ჰოსპიტაზალიზაციის თარიღის მიხედვით შემდეგია:</w:t>
      </w:r>
    </w:p>
    <w:p w:rsidR="006A6FD1" w:rsidRPr="006A6FD1" w:rsidRDefault="00181980" w:rsidP="00181980">
      <w:pPr>
        <w:pStyle w:val="ListParagraph"/>
        <w:spacing w:before="240" w:after="240"/>
        <w:ind w:left="633"/>
        <w:contextualSpacing w:val="0"/>
        <w:jc w:val="both"/>
        <w:rPr>
          <w:rFonts w:ascii="Sylfaen" w:eastAsia="Times New Roman" w:hAnsi="Sylfaen" w:cs="Times New Roman"/>
          <w:sz w:val="20"/>
          <w:szCs w:val="20"/>
        </w:rPr>
      </w:pPr>
      <w:r>
        <w:rPr>
          <w:noProof/>
        </w:rPr>
        <w:drawing>
          <wp:inline distT="0" distB="0" distL="0" distR="0" wp14:anchorId="172A656E" wp14:editId="1D5AB017">
            <wp:extent cx="5943600" cy="18002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1D93" w:rsidRPr="00550AFF" w:rsidRDefault="00131D93" w:rsidP="00131D93">
      <w:pPr>
        <w:pStyle w:val="ListParagraph"/>
        <w:numPr>
          <w:ilvl w:val="0"/>
          <w:numId w:val="2"/>
        </w:numPr>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lastRenderedPageBreak/>
        <w:t xml:space="preserve">მნიშვნელოვანია გადაიხედოს </w:t>
      </w:r>
      <w:r w:rsidR="00550AFF">
        <w:rPr>
          <w:rFonts w:ascii="Sylfaen" w:eastAsia="Times New Roman" w:hAnsi="Sylfaen" w:cs="Times New Roman"/>
          <w:sz w:val="20"/>
          <w:szCs w:val="20"/>
          <w:lang w:val="ka-GE"/>
        </w:rPr>
        <w:t>ორთოპედიული ენდოპროტეზირების დაფინანსება, საჭიროა</w:t>
      </w:r>
      <w:r w:rsidRPr="0031168F">
        <w:rPr>
          <w:rFonts w:ascii="Sylfaen" w:eastAsia="Times New Roman" w:hAnsi="Sylfaen" w:cs="Times New Roman"/>
          <w:sz w:val="20"/>
          <w:szCs w:val="20"/>
          <w:lang w:val="ka-GE"/>
        </w:rPr>
        <w:t xml:space="preserve"> შეიქმნას ეროვნული გაიდლაინი, რომელის მიხედვითაც მოხდება აღნიშნული ჩარევის საჭიროების მქონე პაციენტების მართვა.</w:t>
      </w:r>
      <w:r w:rsidR="00550AFF">
        <w:rPr>
          <w:rFonts w:ascii="Sylfaen" w:eastAsia="Times New Roman" w:hAnsi="Sylfaen" w:cs="Times New Roman"/>
          <w:sz w:val="20"/>
          <w:szCs w:val="20"/>
          <w:lang w:val="ka-GE"/>
        </w:rPr>
        <w:t xml:space="preserve"> </w:t>
      </w:r>
      <w:r w:rsidR="00550AFF" w:rsidRPr="0031168F">
        <w:rPr>
          <w:rFonts w:ascii="Sylfaen" w:eastAsia="Times New Roman" w:hAnsi="Sylfaen" w:cs="Times New Roman"/>
          <w:sz w:val="20"/>
          <w:szCs w:val="20"/>
          <w:lang w:val="ka-GE"/>
        </w:rPr>
        <w:t>დადგენ</w:t>
      </w:r>
      <w:r w:rsidR="00550AFF">
        <w:rPr>
          <w:rFonts w:ascii="Sylfaen" w:eastAsia="Times New Roman" w:hAnsi="Sylfaen" w:cs="Times New Roman"/>
          <w:sz w:val="20"/>
          <w:szCs w:val="20"/>
          <w:lang w:val="ka-GE"/>
        </w:rPr>
        <w:t>ი</w:t>
      </w:r>
      <w:r w:rsidR="00550AFF" w:rsidRPr="0031168F">
        <w:rPr>
          <w:rFonts w:ascii="Sylfaen" w:eastAsia="Times New Roman" w:hAnsi="Sylfaen" w:cs="Times New Roman"/>
          <w:sz w:val="20"/>
          <w:szCs w:val="20"/>
          <w:lang w:val="ka-GE"/>
        </w:rPr>
        <w:t>ლების დანართი 1.1 და დანართი 1.4-ის პირობებით მოსარგებლეებისათვის</w:t>
      </w:r>
      <w:r w:rsidR="00550AFF">
        <w:rPr>
          <w:rFonts w:ascii="Sylfaen" w:eastAsia="Times New Roman" w:hAnsi="Sylfaen" w:cs="Times New Roman"/>
          <w:sz w:val="20"/>
          <w:szCs w:val="20"/>
          <w:lang w:val="ka-GE"/>
        </w:rPr>
        <w:t xml:space="preserve"> აღნიშნული სერვისი</w:t>
      </w:r>
      <w:r w:rsidR="00550AFF" w:rsidRPr="0031168F">
        <w:rPr>
          <w:rFonts w:ascii="Sylfaen" w:eastAsia="Times New Roman" w:hAnsi="Sylfaen" w:cs="Times New Roman"/>
          <w:sz w:val="20"/>
          <w:szCs w:val="20"/>
          <w:lang w:val="ka-GE"/>
        </w:rPr>
        <w:t xml:space="preserve"> არ ექვემდებარება ანაზღაურებას</w:t>
      </w:r>
      <w:r w:rsidR="00550AFF">
        <w:rPr>
          <w:rFonts w:ascii="Sylfaen" w:eastAsia="Times New Roman" w:hAnsi="Sylfaen" w:cs="Times New Roman"/>
          <w:sz w:val="20"/>
          <w:szCs w:val="20"/>
          <w:lang w:val="ka-GE"/>
        </w:rPr>
        <w:t>. ძირითადად, ხარჯები დაკავშირებული საპენსიო ასაკის მოსახლეობის ოპერაციებთა, რომელთაც საერთაშორისო გაიდლაინებით რეკომენდებული დეტალური კვლევებისა და ხშირ შემთხვევაში ძვლოვანი სტრუქტურის შეფასების გარეშე უტარდებათ ორპოლუსიანი უცემენტო ენდოპროტეზირება. მხოლოდ მენჯ-ბარძაყის სახსრის ენდოპროტეზირების ხარჯები წლიურად 15 მლნ-მდეა</w:t>
      </w:r>
      <w:r w:rsidR="00AE74D4">
        <w:rPr>
          <w:rFonts w:ascii="Sylfaen" w:eastAsia="Times New Roman" w:hAnsi="Sylfaen" w:cs="Times New Roman"/>
          <w:sz w:val="20"/>
          <w:szCs w:val="20"/>
        </w:rPr>
        <w:t xml:space="preserve">, </w:t>
      </w:r>
      <w:r w:rsidR="00AE74D4">
        <w:rPr>
          <w:rFonts w:ascii="Sylfaen" w:eastAsia="Times New Roman" w:hAnsi="Sylfaen" w:cs="Times New Roman"/>
          <w:sz w:val="20"/>
          <w:szCs w:val="20"/>
          <w:lang w:val="ka-GE"/>
        </w:rPr>
        <w:t>მუხლის სახსრის ენდოპროტეზირების ხარჯები - დაახლოებით 2,5 მლნ. ლარია, ხოლო რეენდოპროტეზირების ხარჯები 1,5 მლნ-მდე</w:t>
      </w:r>
      <w:r w:rsidR="00550AFF">
        <w:rPr>
          <w:rFonts w:ascii="Sylfaen" w:eastAsia="Times New Roman" w:hAnsi="Sylfaen" w:cs="Times New Roman"/>
          <w:sz w:val="20"/>
          <w:szCs w:val="20"/>
          <w:lang w:val="ka-GE"/>
        </w:rPr>
        <w:t>. ამასთან აღსანიშნავია, რომ ამ მომსახურებაში ბენეფიციარების თანაგადახდის წილიც საკმაოდ მაღალია (სერვისის გაუმჯობესებისთვის გადახდილი თანხა)</w:t>
      </w:r>
    </w:p>
    <w:p w:rsidR="00550AFF" w:rsidRDefault="00550AFF" w:rsidP="00550AFF">
      <w:pPr>
        <w:pStyle w:val="ListParagraph"/>
        <w:spacing w:before="240" w:after="240"/>
        <w:ind w:left="0" w:firstLine="633"/>
        <w:contextualSpacing w:val="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ეროვნული გაიდლაინის დამტკიცებამდე განსახილველია აღნიშნული სერვისის მისაღებად მოცდის პერიოდის გახანგრძლივება (სახელმწიფო სადაზღვევო პროგრამებში დაფიქსირებული პერიოდით მაინც). </w:t>
      </w:r>
    </w:p>
    <w:p w:rsidR="007101CE" w:rsidRDefault="00FE15C5" w:rsidP="0018017C">
      <w:pPr>
        <w:pStyle w:val="ListParagraph"/>
        <w:spacing w:before="240" w:after="240"/>
        <w:ind w:left="0" w:firstLine="633"/>
        <w:contextualSpacing w:val="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შესაძლებელია მსჯელობა იმპლანტების, მათ შორის ენდოპროტეზების, სახელმწიფო შესყიდვის თაობაზე. </w:t>
      </w:r>
    </w:p>
    <w:p w:rsidR="00FE15C5" w:rsidRPr="007101CE" w:rsidRDefault="00FE15C5" w:rsidP="00FE15C5">
      <w:pPr>
        <w:pStyle w:val="ListParagraph"/>
        <w:spacing w:before="240" w:after="240"/>
        <w:ind w:left="0" w:firstLine="567"/>
        <w:contextualSpacing w:val="0"/>
        <w:jc w:val="both"/>
        <w:rPr>
          <w:rFonts w:ascii="Sylfaen" w:eastAsia="Times New Roman" w:hAnsi="Sylfaen" w:cs="Times New Roman"/>
          <w:b/>
          <w:i/>
          <w:sz w:val="20"/>
          <w:szCs w:val="20"/>
          <w:lang w:val="ka-GE"/>
        </w:rPr>
      </w:pPr>
      <w:r w:rsidRPr="007101CE">
        <w:rPr>
          <w:rFonts w:ascii="Sylfaen" w:eastAsia="Times New Roman" w:hAnsi="Sylfaen" w:cs="Times New Roman"/>
          <w:b/>
          <w:i/>
          <w:sz w:val="20"/>
          <w:szCs w:val="20"/>
          <w:lang w:val="ka-GE"/>
        </w:rPr>
        <w:t xml:space="preserve">მითითებული და </w:t>
      </w:r>
      <w:r w:rsidR="007101CE" w:rsidRPr="007101CE">
        <w:rPr>
          <w:rFonts w:ascii="Sylfaen" w:eastAsia="Times New Roman" w:hAnsi="Sylfaen" w:cs="Times New Roman"/>
          <w:b/>
          <w:i/>
          <w:sz w:val="20"/>
          <w:szCs w:val="20"/>
          <w:lang w:val="ka-GE"/>
        </w:rPr>
        <w:t xml:space="preserve">სხვა </w:t>
      </w:r>
      <w:r w:rsidRPr="007101CE">
        <w:rPr>
          <w:rFonts w:ascii="Sylfaen" w:eastAsia="Times New Roman" w:hAnsi="Sylfaen" w:cs="Times New Roman"/>
          <w:b/>
          <w:i/>
          <w:sz w:val="20"/>
          <w:szCs w:val="20"/>
          <w:lang w:val="ka-GE"/>
        </w:rPr>
        <w:t xml:space="preserve">ტიპის </w:t>
      </w:r>
      <w:r w:rsidR="007101CE" w:rsidRPr="007101CE">
        <w:rPr>
          <w:rFonts w:ascii="Sylfaen" w:eastAsia="Times New Roman" w:hAnsi="Sylfaen" w:cs="Times New Roman"/>
          <w:b/>
          <w:i/>
          <w:sz w:val="20"/>
          <w:szCs w:val="20"/>
          <w:lang w:val="ka-GE"/>
        </w:rPr>
        <w:t>ხარჯების ოპტიმიზაციის</w:t>
      </w:r>
      <w:r w:rsidRPr="007101CE">
        <w:rPr>
          <w:rFonts w:ascii="Sylfaen" w:eastAsia="Times New Roman" w:hAnsi="Sylfaen" w:cs="Times New Roman"/>
          <w:b/>
          <w:i/>
          <w:sz w:val="20"/>
          <w:szCs w:val="20"/>
          <w:lang w:val="ka-GE"/>
        </w:rPr>
        <w:t xml:space="preserve"> </w:t>
      </w:r>
      <w:r w:rsidR="007101CE" w:rsidRPr="007101CE">
        <w:rPr>
          <w:rFonts w:ascii="Sylfaen" w:eastAsia="Times New Roman" w:hAnsi="Sylfaen" w:cs="Times New Roman"/>
          <w:b/>
          <w:i/>
          <w:sz w:val="20"/>
          <w:szCs w:val="20"/>
          <w:lang w:val="ka-GE"/>
        </w:rPr>
        <w:t>პირობებში</w:t>
      </w:r>
      <w:r w:rsidRPr="007101CE">
        <w:rPr>
          <w:rFonts w:ascii="Sylfaen" w:eastAsia="Times New Roman" w:hAnsi="Sylfaen" w:cs="Times New Roman"/>
          <w:b/>
          <w:i/>
          <w:sz w:val="20"/>
          <w:szCs w:val="20"/>
          <w:lang w:val="ka-GE"/>
        </w:rPr>
        <w:t xml:space="preserve"> მნიშვნელოვანი</w:t>
      </w:r>
      <w:r w:rsidR="007101CE" w:rsidRPr="007101CE">
        <w:rPr>
          <w:rFonts w:ascii="Sylfaen" w:eastAsia="Times New Roman" w:hAnsi="Sylfaen" w:cs="Times New Roman"/>
          <w:b/>
          <w:i/>
          <w:sz w:val="20"/>
          <w:szCs w:val="20"/>
          <w:lang w:val="ka-GE"/>
        </w:rPr>
        <w:t>ა</w:t>
      </w:r>
      <w:r w:rsidRPr="007101CE">
        <w:rPr>
          <w:rFonts w:ascii="Sylfaen" w:eastAsia="Times New Roman" w:hAnsi="Sylfaen" w:cs="Times New Roman"/>
          <w:b/>
          <w:i/>
          <w:sz w:val="20"/>
          <w:szCs w:val="20"/>
          <w:lang w:val="ka-GE"/>
        </w:rPr>
        <w:t xml:space="preserve"> სხვადასხვა ტიპის ბენეფიციარების </w:t>
      </w:r>
      <w:r w:rsidRPr="007101CE">
        <w:rPr>
          <w:rFonts w:ascii="Sylfaen" w:eastAsia="Times New Roman" w:hAnsi="Sylfaen" w:cs="Times New Roman"/>
          <w:b/>
          <w:i/>
          <w:sz w:val="20"/>
          <w:szCs w:val="20"/>
          <w:lang w:val="ka-GE"/>
        </w:rPr>
        <w:t>მომსახურების მოცულობის გადახედვა</w:t>
      </w:r>
      <w:r w:rsidRPr="007101CE">
        <w:rPr>
          <w:rFonts w:ascii="Sylfaen" w:eastAsia="Times New Roman" w:hAnsi="Sylfaen" w:cs="Times New Roman"/>
          <w:b/>
          <w:i/>
          <w:sz w:val="20"/>
          <w:szCs w:val="20"/>
          <w:lang w:val="ka-GE"/>
        </w:rPr>
        <w:t xml:space="preserve">. </w:t>
      </w:r>
      <w:r w:rsidR="007101CE" w:rsidRPr="007101CE">
        <w:rPr>
          <w:rFonts w:ascii="Sylfaen" w:eastAsia="Times New Roman" w:hAnsi="Sylfaen" w:cs="Times New Roman"/>
          <w:b/>
          <w:i/>
          <w:sz w:val="20"/>
          <w:szCs w:val="20"/>
          <w:lang w:val="ka-GE"/>
        </w:rPr>
        <w:t>შევეხებით ერთ საკითხს:</w:t>
      </w:r>
    </w:p>
    <w:p w:rsidR="00ED3D5C" w:rsidRPr="007101CE" w:rsidRDefault="00ED3D5C" w:rsidP="007101CE">
      <w:pPr>
        <w:pStyle w:val="ListParagraph"/>
        <w:numPr>
          <w:ilvl w:val="0"/>
          <w:numId w:val="2"/>
        </w:numPr>
        <w:spacing w:before="240" w:after="240"/>
        <w:ind w:left="0" w:firstLine="567"/>
        <w:jc w:val="both"/>
        <w:rPr>
          <w:rFonts w:ascii="Sylfaen" w:eastAsia="Times New Roman" w:hAnsi="Sylfaen" w:cs="Times New Roman"/>
          <w:sz w:val="20"/>
          <w:szCs w:val="20"/>
        </w:rPr>
      </w:pPr>
      <w:r w:rsidRPr="007101CE">
        <w:rPr>
          <w:rFonts w:ascii="Sylfaen" w:hAnsi="Sylfaen" w:cs="Sylfaen"/>
          <w:sz w:val="20"/>
          <w:szCs w:val="20"/>
          <w:lang w:val="ka-GE"/>
        </w:rPr>
        <w:t>საყოველთაო</w:t>
      </w:r>
      <w:r w:rsidRPr="007101CE">
        <w:rPr>
          <w:rFonts w:ascii="Sylfaen" w:hAnsi="Sylfaen"/>
          <w:sz w:val="20"/>
          <w:szCs w:val="20"/>
          <w:lang w:val="ka-GE"/>
        </w:rPr>
        <w:t xml:space="preserve"> ჯანმრთელობის დაცვის სახელმწიფო პროგრამის განვითარების მიმდინარე ეტაპზე</w:t>
      </w:r>
      <w:r w:rsidRPr="007101CE">
        <w:rPr>
          <w:rFonts w:ascii="Sylfaen" w:hAnsi="Sylfaen"/>
          <w:sz w:val="20"/>
          <w:szCs w:val="20"/>
        </w:rPr>
        <w:t xml:space="preserve"> </w:t>
      </w:r>
      <w:r w:rsidRPr="007101CE">
        <w:rPr>
          <w:rFonts w:ascii="Sylfaen" w:hAnsi="Sylfaen"/>
          <w:sz w:val="20"/>
          <w:szCs w:val="20"/>
          <w:lang w:val="ka-GE"/>
        </w:rPr>
        <w:t xml:space="preserve">შშმ ბავშვების სამედიცინო მომსახურებასთან დაკავშირებით ბენეფიციართა მხრიდან ფიქსირდება გარკვეული უკმაყოფილება პროგრამის ფარგლებში გაწეული გადაუდებელი სტაციონარული მომსახურებისთვის მოსარგებლის მხრიდან თანაგადახდის გამო. საყოველთაო ჯანმრთელობის დაცვის სახელმწიფო პროგრამის მარეგულირებელი საქართველოს მთავრობის 2013 წლის 21 თებერვლის N36 დადგენილების (შემდგომში - დადგენილება) </w:t>
      </w:r>
      <w:r w:rsidRPr="007101CE">
        <w:rPr>
          <w:rFonts w:ascii="Sylfaen" w:hAnsi="Sylfaen"/>
          <w:sz w:val="20"/>
          <w:szCs w:val="20"/>
        </w:rPr>
        <w:t xml:space="preserve">№1.2 </w:t>
      </w:r>
      <w:proofErr w:type="spellStart"/>
      <w:r w:rsidRPr="007101CE">
        <w:rPr>
          <w:rFonts w:ascii="Sylfaen" w:hAnsi="Sylfaen" w:cs="Sylfaen"/>
          <w:sz w:val="20"/>
          <w:szCs w:val="20"/>
        </w:rPr>
        <w:t>დანართში</w:t>
      </w:r>
      <w:proofErr w:type="spellEnd"/>
      <w:r w:rsidRPr="007101CE">
        <w:rPr>
          <w:rFonts w:ascii="Sylfaen" w:hAnsi="Sylfaen"/>
          <w:sz w:val="20"/>
          <w:szCs w:val="20"/>
        </w:rPr>
        <w:t xml:space="preserve"> </w:t>
      </w:r>
      <w:proofErr w:type="spellStart"/>
      <w:r w:rsidRPr="007101CE">
        <w:rPr>
          <w:rFonts w:ascii="Sylfaen" w:hAnsi="Sylfaen" w:cs="Sylfaen"/>
          <w:sz w:val="20"/>
          <w:szCs w:val="20"/>
        </w:rPr>
        <w:t>მითითებული</w:t>
      </w:r>
      <w:proofErr w:type="spellEnd"/>
      <w:r w:rsidRPr="007101CE">
        <w:rPr>
          <w:rFonts w:ascii="Sylfaen" w:hAnsi="Sylfaen" w:cs="Sylfaen"/>
          <w:sz w:val="20"/>
          <w:szCs w:val="20"/>
          <w:lang w:val="ka-GE"/>
        </w:rPr>
        <w:t xml:space="preserve"> გადაუდებელი მდგომარეობები პროგრამის ფარგლებში </w:t>
      </w:r>
      <w:r w:rsidRPr="007101CE">
        <w:rPr>
          <w:rFonts w:ascii="Sylfaen" w:hAnsi="Sylfaen"/>
          <w:sz w:val="20"/>
          <w:szCs w:val="20"/>
          <w:lang w:val="ka-GE"/>
        </w:rPr>
        <w:t>6-17 წლის ასაკის მოზარდებისთვის</w:t>
      </w:r>
      <w:r w:rsidRPr="007101CE">
        <w:rPr>
          <w:rFonts w:ascii="Sylfaen" w:hAnsi="Sylfaen" w:cs="Sylfaen"/>
          <w:sz w:val="20"/>
          <w:szCs w:val="20"/>
          <w:lang w:val="ka-GE"/>
        </w:rPr>
        <w:t xml:space="preserve"> ფინანსდება სრულად, მაშინ როდესაც </w:t>
      </w:r>
      <w:r w:rsidRPr="007101CE">
        <w:rPr>
          <w:rFonts w:ascii="Sylfaen" w:hAnsi="Sylfaen"/>
          <w:sz w:val="20"/>
          <w:szCs w:val="20"/>
          <w:lang w:val="ka-GE"/>
        </w:rPr>
        <w:t xml:space="preserve"> შშმ ბავშვებისთვის, პროგრამის პირობები ითვალისწინებს თანაგადახდას, ამასთან, შშმ ბავშვებისთვის გათვალისწინებული სხვა სახის მომსახურების მოცულობა გაცილებით მეტია 6-17 წლის ასაკის მოზარდებისთვის  გათვალისწინებულ მომსახურების მოცულობაზე და თანაგადახდის პროცენტული წილიც შედარებით ნაკლებია.  </w:t>
      </w:r>
    </w:p>
    <w:p w:rsidR="00ED3D5C" w:rsidRPr="0031168F" w:rsidRDefault="00ED3D5C" w:rsidP="00ED3D5C">
      <w:pPr>
        <w:pStyle w:val="ListParagraph"/>
        <w:spacing w:before="240" w:after="240"/>
        <w:ind w:left="0" w:firstLine="540"/>
        <w:jc w:val="both"/>
        <w:rPr>
          <w:rFonts w:ascii="Sylfaen" w:hAnsi="Sylfaen" w:cs="Sylfaen"/>
          <w:sz w:val="20"/>
          <w:szCs w:val="20"/>
          <w:lang w:val="ka-GE"/>
        </w:rPr>
      </w:pPr>
      <w:r w:rsidRPr="0031168F">
        <w:rPr>
          <w:rFonts w:ascii="Sylfaen" w:hAnsi="Sylfaen"/>
          <w:sz w:val="20"/>
          <w:szCs w:val="20"/>
          <w:lang w:val="ka-GE"/>
        </w:rPr>
        <w:t xml:space="preserve">შშმ ბავშვებისთვის სამედიცინო მომსახურების პირობები განსაზღვრულია დადგენილების დანართი N1.3-ის მეორე პუნქტით, რომლის „გ.ა“ ქვეპუნქტით გათვალისწინებულია გადაუდებელი სტაციონარული მომსახურება: „გ.ა.ა) </w:t>
      </w:r>
      <w:r w:rsidRPr="0031168F">
        <w:rPr>
          <w:rFonts w:ascii="Sylfaen" w:hAnsi="Sylfaen"/>
          <w:sz w:val="20"/>
          <w:szCs w:val="20"/>
        </w:rPr>
        <w:t>№1.2</w:t>
      </w:r>
      <w:r w:rsidRPr="0031168F">
        <w:rPr>
          <w:rFonts w:ascii="Sylfaen" w:hAnsi="Sylfaen"/>
          <w:b/>
          <w:sz w:val="20"/>
          <w:szCs w:val="20"/>
        </w:rPr>
        <w:t xml:space="preserve"> </w:t>
      </w:r>
      <w:proofErr w:type="spellStart"/>
      <w:r w:rsidRPr="0031168F">
        <w:rPr>
          <w:rFonts w:ascii="Sylfaen" w:hAnsi="Sylfaen" w:cs="Sylfaen"/>
          <w:sz w:val="20"/>
          <w:szCs w:val="20"/>
        </w:rPr>
        <w:t>დანართში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მითითებული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კრიტიკული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მდგომარეობები</w:t>
      </w:r>
      <w:proofErr w:type="spellEnd"/>
      <w:r w:rsidRPr="0031168F">
        <w:rPr>
          <w:rFonts w:ascii="Sylfaen" w:hAnsi="Sylfaen"/>
          <w:sz w:val="20"/>
          <w:szCs w:val="20"/>
        </w:rPr>
        <w:t>/</w:t>
      </w:r>
      <w:proofErr w:type="spellStart"/>
      <w:r w:rsidRPr="0031168F">
        <w:rPr>
          <w:rFonts w:ascii="Sylfaen" w:hAnsi="Sylfaen" w:cs="Sylfaen"/>
          <w:sz w:val="20"/>
          <w:szCs w:val="20"/>
        </w:rPr>
        <w:t>ინტენსიური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თერაპია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გადაუდებელი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მდგომარეობები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გ</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სხვა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გადაუდებელი</w:t>
      </w:r>
      <w:proofErr w:type="spellEnd"/>
      <w:r w:rsidRPr="0031168F">
        <w:rPr>
          <w:rFonts w:ascii="Sylfaen" w:hAnsi="Sylfaen"/>
          <w:sz w:val="20"/>
          <w:szCs w:val="20"/>
        </w:rPr>
        <w:t xml:space="preserve"> </w:t>
      </w:r>
      <w:proofErr w:type="spellStart"/>
      <w:proofErr w:type="gramStart"/>
      <w:r w:rsidRPr="0031168F">
        <w:rPr>
          <w:rFonts w:ascii="Sylfaen" w:hAnsi="Sylfaen" w:cs="Sylfaen"/>
          <w:sz w:val="20"/>
          <w:szCs w:val="20"/>
        </w:rPr>
        <w:t>მდგომარეობები</w:t>
      </w:r>
      <w:proofErr w:type="spellEnd"/>
      <w:r w:rsidRPr="0031168F">
        <w:rPr>
          <w:rFonts w:ascii="Sylfaen" w:hAnsi="Sylfaen" w:cs="Sylfaen"/>
          <w:sz w:val="20"/>
          <w:szCs w:val="20"/>
          <w:lang w:val="ka-GE"/>
        </w:rPr>
        <w:t>“</w:t>
      </w:r>
      <w:proofErr w:type="gramEnd"/>
      <w:r w:rsidRPr="0031168F">
        <w:rPr>
          <w:rFonts w:ascii="Sylfaen" w:hAnsi="Sylfaen" w:cs="Sylfaen"/>
          <w:sz w:val="20"/>
          <w:szCs w:val="20"/>
          <w:lang w:val="ka-GE"/>
        </w:rPr>
        <w:t>. ა</w:t>
      </w:r>
      <w:r w:rsidRPr="0031168F">
        <w:rPr>
          <w:rFonts w:ascii="Sylfaen" w:hAnsi="Sylfaen"/>
          <w:sz w:val="20"/>
          <w:szCs w:val="20"/>
          <w:lang w:val="ka-GE"/>
        </w:rPr>
        <w:t xml:space="preserve">მასთან, შშმ ბავშვებისთვის </w:t>
      </w:r>
      <w:r w:rsidRPr="0031168F">
        <w:rPr>
          <w:rFonts w:ascii="Sylfaen" w:hAnsi="Sylfaen"/>
          <w:b/>
          <w:sz w:val="20"/>
          <w:szCs w:val="20"/>
          <w:lang w:val="ka-GE"/>
        </w:rPr>
        <w:t>„</w:t>
      </w:r>
      <w:proofErr w:type="spellStart"/>
      <w:r w:rsidRPr="0031168F">
        <w:rPr>
          <w:rFonts w:ascii="Sylfaen" w:hAnsi="Sylfaen" w:cs="Sylfaen"/>
          <w:b/>
          <w:sz w:val="20"/>
          <w:szCs w:val="20"/>
        </w:rPr>
        <w:t>გ</w:t>
      </w:r>
      <w:r w:rsidRPr="0031168F">
        <w:rPr>
          <w:rFonts w:ascii="Sylfaen" w:hAnsi="Sylfaen"/>
          <w:b/>
          <w:sz w:val="20"/>
          <w:szCs w:val="20"/>
        </w:rPr>
        <w:t>.</w:t>
      </w:r>
      <w:r w:rsidRPr="0031168F">
        <w:rPr>
          <w:rFonts w:ascii="Sylfaen" w:hAnsi="Sylfaen" w:cs="Sylfaen"/>
          <w:b/>
          <w:sz w:val="20"/>
          <w:szCs w:val="20"/>
        </w:rPr>
        <w:t>ა</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ქვეპუნქტით</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განსაზღვრული</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მომსახურება</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ითვალისწინებს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ასანაზღაურებელი</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თანხის</w:t>
      </w:r>
      <w:proofErr w:type="spellEnd"/>
      <w:r w:rsidRPr="0031168F">
        <w:rPr>
          <w:rFonts w:ascii="Sylfaen" w:hAnsi="Sylfaen"/>
          <w:b/>
          <w:sz w:val="20"/>
          <w:szCs w:val="20"/>
        </w:rPr>
        <w:t xml:space="preserve"> 20%-</w:t>
      </w:r>
      <w:proofErr w:type="spellStart"/>
      <w:r w:rsidRPr="0031168F">
        <w:rPr>
          <w:rFonts w:ascii="Sylfaen" w:hAnsi="Sylfaen" w:cs="Sylfaen"/>
          <w:b/>
          <w:sz w:val="20"/>
          <w:szCs w:val="20"/>
        </w:rPr>
        <w:t>ის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თანაგადახდას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მოსარგებლის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მხრიდან</w:t>
      </w:r>
      <w:proofErr w:type="spellEnd"/>
      <w:r w:rsidRPr="0031168F">
        <w:rPr>
          <w:rFonts w:ascii="Sylfaen" w:hAnsi="Sylfaen" w:cs="Sylfaen"/>
          <w:sz w:val="20"/>
          <w:szCs w:val="20"/>
          <w:lang w:val="ka-GE"/>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ითვალისწინებს</w:t>
      </w:r>
      <w:proofErr w:type="spellEnd"/>
      <w:r w:rsidRPr="0031168F">
        <w:rPr>
          <w:rFonts w:ascii="Sylfaen" w:hAnsi="Sylfaen"/>
          <w:sz w:val="20"/>
          <w:szCs w:val="20"/>
        </w:rPr>
        <w:t xml:space="preserve"> </w:t>
      </w:r>
      <w:bookmarkStart w:id="0" w:name="_GoBack"/>
      <w:bookmarkEnd w:id="0"/>
      <w:proofErr w:type="spellStart"/>
      <w:r w:rsidRPr="0031168F">
        <w:rPr>
          <w:rFonts w:ascii="Sylfaen" w:hAnsi="Sylfaen" w:cs="Sylfaen"/>
          <w:sz w:val="20"/>
          <w:szCs w:val="20"/>
        </w:rPr>
        <w:t>კრიტიკული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მდგომარეობები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ნეონატალური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დაწყებული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შემთხვევები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ასევე</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ინკურაბელურ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პაციენტთა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პალიატურ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მზრუნველობასთან</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დაკავშირებული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ჰოსპიტალიზაცია</w:t>
      </w:r>
      <w:proofErr w:type="spellEnd"/>
      <w:r w:rsidRPr="0031168F">
        <w:rPr>
          <w:rFonts w:ascii="Sylfaen" w:hAnsi="Sylfaen"/>
          <w:sz w:val="20"/>
          <w:szCs w:val="20"/>
        </w:rPr>
        <w:t xml:space="preserve"> 0-5 </w:t>
      </w:r>
      <w:proofErr w:type="spellStart"/>
      <w:r w:rsidRPr="0031168F">
        <w:rPr>
          <w:rFonts w:ascii="Sylfaen" w:hAnsi="Sylfaen" w:cs="Sylfaen"/>
          <w:sz w:val="20"/>
          <w:szCs w:val="20"/>
        </w:rPr>
        <w:t>წლის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ჩათვლით</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მოსარგებლეებისა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შშმ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ბავშვებისათვის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ასევე</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ექვემდებარება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საპენსიო</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ვეტერანის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ან</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მკვეთრად</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გამოხატული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შშმ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ვეტერანისთვის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გაწეული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სამედიცინო</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მომსახურება</w:t>
      </w:r>
      <w:proofErr w:type="spellEnd"/>
      <w:r w:rsidRPr="0031168F">
        <w:rPr>
          <w:rFonts w:ascii="Sylfaen" w:hAnsi="Sylfaen" w:cs="Sylfaen"/>
          <w:sz w:val="20"/>
          <w:szCs w:val="20"/>
          <w:lang w:val="ka-GE"/>
        </w:rPr>
        <w:t>.</w:t>
      </w:r>
    </w:p>
    <w:p w:rsidR="00ED3D5C" w:rsidRPr="0031168F" w:rsidRDefault="00ED3D5C" w:rsidP="00ED3D5C">
      <w:pPr>
        <w:pStyle w:val="ListParagraph"/>
        <w:spacing w:before="240" w:after="240"/>
        <w:ind w:left="0" w:firstLine="450"/>
        <w:jc w:val="both"/>
        <w:rPr>
          <w:rFonts w:ascii="Sylfaen" w:hAnsi="Sylfaen"/>
          <w:sz w:val="20"/>
          <w:szCs w:val="20"/>
        </w:rPr>
      </w:pPr>
      <w:r w:rsidRPr="0031168F">
        <w:rPr>
          <w:rFonts w:ascii="Sylfaen" w:hAnsi="Sylfaen" w:cs="Sylfaen"/>
          <w:sz w:val="20"/>
          <w:szCs w:val="20"/>
          <w:lang w:val="ka-GE"/>
        </w:rPr>
        <w:t>ამასთან, 6-17 წლის ასაკის მოზარდების სამედიცინო მომსახურების პირობები განსაზღვრულია დადგენილების დანართი N1.1-თ, რომლის „ბ.ა“ ქვეპუნქტის პირობების მიხედვით პროგრამის ფარგლებში ფინანსდება „</w:t>
      </w:r>
      <w:proofErr w:type="spellStart"/>
      <w:r w:rsidRPr="0031168F">
        <w:rPr>
          <w:rFonts w:ascii="Sylfaen" w:hAnsi="Sylfaen" w:cs="Sylfaen"/>
          <w:sz w:val="20"/>
          <w:szCs w:val="20"/>
        </w:rPr>
        <w:t>გადაუდებელი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სტაციონარული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მომსახურება</w:t>
      </w:r>
      <w:proofErr w:type="spellEnd"/>
      <w:r w:rsidRPr="0031168F">
        <w:rPr>
          <w:rFonts w:ascii="Sylfaen" w:hAnsi="Sylfaen"/>
          <w:sz w:val="20"/>
          <w:szCs w:val="20"/>
        </w:rPr>
        <w:t xml:space="preserve"> - </w:t>
      </w:r>
      <w:proofErr w:type="spellStart"/>
      <w:r w:rsidRPr="0031168F">
        <w:rPr>
          <w:rFonts w:ascii="Sylfaen" w:hAnsi="Sylfaen" w:cs="Sylfaen"/>
          <w:sz w:val="20"/>
          <w:szCs w:val="20"/>
        </w:rPr>
        <w:t>ლიმიტი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ერთეულ</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შემთხვევაზე</w:t>
      </w:r>
      <w:proofErr w:type="spellEnd"/>
      <w:r w:rsidRPr="0031168F">
        <w:rPr>
          <w:rFonts w:ascii="Sylfaen" w:hAnsi="Sylfaen"/>
          <w:sz w:val="20"/>
          <w:szCs w:val="20"/>
        </w:rPr>
        <w:t xml:space="preserve"> - 15 000 </w:t>
      </w:r>
      <w:proofErr w:type="spellStart"/>
      <w:r w:rsidRPr="0031168F">
        <w:rPr>
          <w:rFonts w:ascii="Sylfaen" w:hAnsi="Sylfaen" w:cs="Sylfaen"/>
          <w:sz w:val="20"/>
          <w:szCs w:val="20"/>
        </w:rPr>
        <w:t>ლარი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ა</w:t>
      </w:r>
      <w:proofErr w:type="spellEnd"/>
      <w:r w:rsidRPr="0031168F">
        <w:rPr>
          <w:rFonts w:ascii="Sylfaen" w:hAnsi="Sylfaen"/>
          <w:sz w:val="20"/>
          <w:szCs w:val="20"/>
        </w:rPr>
        <w:t xml:space="preserve">) №1.2 </w:t>
      </w:r>
      <w:proofErr w:type="spellStart"/>
      <w:r w:rsidRPr="0031168F">
        <w:rPr>
          <w:rFonts w:ascii="Sylfaen" w:hAnsi="Sylfaen" w:cs="Sylfaen"/>
          <w:sz w:val="20"/>
          <w:szCs w:val="20"/>
        </w:rPr>
        <w:t>დანართში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მითითებული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კრიტიკული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მდგომარეობები</w:t>
      </w:r>
      <w:proofErr w:type="spellEnd"/>
      <w:r w:rsidRPr="0031168F">
        <w:rPr>
          <w:rFonts w:ascii="Sylfaen" w:hAnsi="Sylfaen"/>
          <w:sz w:val="20"/>
          <w:szCs w:val="20"/>
        </w:rPr>
        <w:t>/</w:t>
      </w:r>
      <w:proofErr w:type="spellStart"/>
      <w:r w:rsidRPr="0031168F">
        <w:rPr>
          <w:rFonts w:ascii="Sylfaen" w:hAnsi="Sylfaen" w:cs="Sylfaen"/>
          <w:sz w:val="20"/>
          <w:szCs w:val="20"/>
        </w:rPr>
        <w:t>ინტენსიური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თერაპია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გადაუდებელი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მდგომარეობები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სხვა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გადაუდებელი</w:t>
      </w:r>
      <w:proofErr w:type="spellEnd"/>
      <w:r w:rsidRPr="0031168F">
        <w:rPr>
          <w:rFonts w:ascii="Sylfaen" w:hAnsi="Sylfaen"/>
          <w:sz w:val="20"/>
          <w:szCs w:val="20"/>
        </w:rPr>
        <w:t xml:space="preserve"> </w:t>
      </w:r>
      <w:proofErr w:type="spellStart"/>
      <w:proofErr w:type="gramStart"/>
      <w:r w:rsidRPr="0031168F">
        <w:rPr>
          <w:rFonts w:ascii="Sylfaen" w:hAnsi="Sylfaen" w:cs="Sylfaen"/>
          <w:sz w:val="20"/>
          <w:szCs w:val="20"/>
        </w:rPr>
        <w:t>მდგომარეობები</w:t>
      </w:r>
      <w:proofErr w:type="spellEnd"/>
      <w:r w:rsidRPr="0031168F">
        <w:rPr>
          <w:rFonts w:ascii="Sylfaen" w:hAnsi="Sylfaen" w:cs="Sylfaen"/>
          <w:sz w:val="20"/>
          <w:szCs w:val="20"/>
          <w:lang w:val="ka-GE"/>
        </w:rPr>
        <w:t>“</w:t>
      </w:r>
      <w:proofErr w:type="gramEnd"/>
      <w:r w:rsidRPr="0031168F">
        <w:rPr>
          <w:rFonts w:ascii="Sylfaen" w:hAnsi="Sylfaen"/>
          <w:sz w:val="20"/>
          <w:szCs w:val="20"/>
        </w:rPr>
        <w:t xml:space="preserve">. </w:t>
      </w:r>
      <w:r w:rsidRPr="0031168F">
        <w:rPr>
          <w:rFonts w:ascii="Sylfaen" w:hAnsi="Sylfaen" w:cs="Sylfaen"/>
          <w:sz w:val="20"/>
          <w:szCs w:val="20"/>
          <w:lang w:val="ka-GE"/>
        </w:rPr>
        <w:t>აქვე აღსანიშნავია, რომ</w:t>
      </w:r>
      <w:r w:rsidRPr="0031168F">
        <w:rPr>
          <w:rFonts w:ascii="Sylfaen" w:hAnsi="Sylfaen"/>
          <w:sz w:val="20"/>
          <w:szCs w:val="20"/>
        </w:rPr>
        <w:t xml:space="preserve"> </w:t>
      </w:r>
      <w:r w:rsidRPr="0031168F">
        <w:rPr>
          <w:rFonts w:ascii="Sylfaen" w:hAnsi="Sylfaen" w:cs="Sylfaen"/>
          <w:sz w:val="20"/>
          <w:szCs w:val="20"/>
          <w:lang w:val="ka-GE"/>
        </w:rPr>
        <w:t xml:space="preserve">6-17 წლის ასაკის მოზარდებისთვის </w:t>
      </w:r>
      <w:r w:rsidRPr="0031168F">
        <w:rPr>
          <w:rFonts w:ascii="Sylfaen" w:hAnsi="Sylfaen"/>
          <w:b/>
          <w:sz w:val="20"/>
          <w:szCs w:val="20"/>
        </w:rPr>
        <w:t>„</w:t>
      </w:r>
      <w:proofErr w:type="spellStart"/>
      <w:r w:rsidRPr="0031168F">
        <w:rPr>
          <w:rFonts w:ascii="Sylfaen" w:hAnsi="Sylfaen" w:cs="Sylfaen"/>
          <w:b/>
          <w:sz w:val="20"/>
          <w:szCs w:val="20"/>
        </w:rPr>
        <w:t>ბ</w:t>
      </w:r>
      <w:r w:rsidRPr="0031168F">
        <w:rPr>
          <w:rFonts w:ascii="Sylfaen" w:hAnsi="Sylfaen"/>
          <w:b/>
          <w:sz w:val="20"/>
          <w:szCs w:val="20"/>
        </w:rPr>
        <w:t>.</w:t>
      </w:r>
      <w:r w:rsidRPr="0031168F">
        <w:rPr>
          <w:rFonts w:ascii="Sylfaen" w:hAnsi="Sylfaen" w:cs="Sylfaen"/>
          <w:b/>
          <w:sz w:val="20"/>
          <w:szCs w:val="20"/>
        </w:rPr>
        <w:t>ა</w:t>
      </w:r>
      <w:r w:rsidRPr="0031168F">
        <w:rPr>
          <w:rFonts w:ascii="Sylfaen" w:hAnsi="Sylfaen"/>
          <w:b/>
          <w:sz w:val="20"/>
          <w:szCs w:val="20"/>
        </w:rPr>
        <w:t>.</w:t>
      </w:r>
      <w:r w:rsidRPr="0031168F">
        <w:rPr>
          <w:rFonts w:ascii="Sylfaen" w:hAnsi="Sylfaen" w:cs="Sylfaen"/>
          <w:b/>
          <w:sz w:val="20"/>
          <w:szCs w:val="20"/>
        </w:rPr>
        <w:t>ა</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ქვეპუნქტით</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განსაზღვრული</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მომსახურება</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არ</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ითვალისწინებს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თანაგადახდას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მოსარგებლის</w:t>
      </w:r>
      <w:proofErr w:type="spellEnd"/>
      <w:r w:rsidRPr="0031168F">
        <w:rPr>
          <w:rFonts w:ascii="Sylfaen" w:hAnsi="Sylfaen"/>
          <w:b/>
          <w:sz w:val="20"/>
          <w:szCs w:val="20"/>
        </w:rPr>
        <w:t xml:space="preserve"> </w:t>
      </w:r>
      <w:proofErr w:type="spellStart"/>
      <w:r w:rsidRPr="0031168F">
        <w:rPr>
          <w:rFonts w:ascii="Sylfaen" w:hAnsi="Sylfaen" w:cs="Sylfaen"/>
          <w:b/>
          <w:sz w:val="20"/>
          <w:szCs w:val="20"/>
        </w:rPr>
        <w:t>მხრიდან</w:t>
      </w:r>
      <w:proofErr w:type="spellEnd"/>
      <w:proofErr w:type="gramStart"/>
      <w:r w:rsidRPr="0031168F">
        <w:rPr>
          <w:rFonts w:ascii="Sylfaen" w:hAnsi="Sylfaen"/>
          <w:b/>
          <w:sz w:val="20"/>
          <w:szCs w:val="20"/>
        </w:rPr>
        <w:t>…</w:t>
      </w:r>
      <w:r w:rsidRPr="0031168F">
        <w:rPr>
          <w:rFonts w:ascii="Sylfaen" w:hAnsi="Sylfaen"/>
          <w:b/>
          <w:sz w:val="20"/>
          <w:szCs w:val="20"/>
          <w:lang w:val="ka-GE"/>
        </w:rPr>
        <w:t>“</w:t>
      </w:r>
      <w:proofErr w:type="gramEnd"/>
      <w:r w:rsidRPr="0031168F">
        <w:rPr>
          <w:rFonts w:ascii="Sylfaen" w:hAnsi="Sylfaen"/>
          <w:sz w:val="20"/>
          <w:szCs w:val="20"/>
          <w:lang w:val="ka-GE"/>
        </w:rPr>
        <w:t>.</w:t>
      </w:r>
      <w:r w:rsidRPr="0031168F">
        <w:rPr>
          <w:rFonts w:ascii="Sylfaen" w:hAnsi="Sylfaen"/>
          <w:sz w:val="20"/>
          <w:szCs w:val="20"/>
        </w:rPr>
        <w:t xml:space="preserve"> </w:t>
      </w:r>
      <w:r w:rsidRPr="0031168F">
        <w:rPr>
          <w:rFonts w:ascii="Sylfaen" w:hAnsi="Sylfaen" w:cs="Sylfaen"/>
          <w:sz w:val="20"/>
          <w:szCs w:val="20"/>
          <w:lang w:val="ka-GE"/>
        </w:rPr>
        <w:t>ამასთან,</w:t>
      </w:r>
      <w:r w:rsidRPr="0031168F">
        <w:rPr>
          <w:rFonts w:ascii="Sylfaen" w:hAnsi="Sylfaen"/>
          <w:sz w:val="20"/>
          <w:szCs w:val="20"/>
        </w:rPr>
        <w:t xml:space="preserve"> „</w:t>
      </w:r>
      <w:proofErr w:type="spellStart"/>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proofErr w:type="spellEnd"/>
      <w:r w:rsidRPr="0031168F">
        <w:rPr>
          <w:rFonts w:ascii="Sylfaen" w:hAnsi="Sylfaen"/>
          <w:sz w:val="20"/>
          <w:szCs w:val="20"/>
        </w:rPr>
        <w:t xml:space="preserve">“ </w:t>
      </w:r>
      <w:proofErr w:type="spellStart"/>
      <w:r w:rsidRPr="0031168F">
        <w:rPr>
          <w:rFonts w:ascii="Sylfaen" w:hAnsi="Sylfaen" w:cs="Sylfaen"/>
          <w:sz w:val="20"/>
          <w:szCs w:val="20"/>
        </w:rPr>
        <w:t>ქვეპუნქტით</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განსაზღვრული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მომსახურება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ითვალისწინებს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პროგრამის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ფარგლებში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ასანაზღაურებელი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თანხის</w:t>
      </w:r>
      <w:proofErr w:type="spellEnd"/>
      <w:r w:rsidRPr="0031168F">
        <w:rPr>
          <w:rFonts w:ascii="Sylfaen" w:hAnsi="Sylfaen"/>
          <w:sz w:val="20"/>
          <w:szCs w:val="20"/>
        </w:rPr>
        <w:t xml:space="preserve"> </w:t>
      </w:r>
      <w:r w:rsidRPr="0031168F">
        <w:rPr>
          <w:rFonts w:ascii="Sylfaen" w:hAnsi="Sylfaen"/>
          <w:b/>
          <w:sz w:val="20"/>
          <w:szCs w:val="20"/>
        </w:rPr>
        <w:t>30%-</w:t>
      </w:r>
      <w:proofErr w:type="spellStart"/>
      <w:r w:rsidRPr="0031168F">
        <w:rPr>
          <w:rFonts w:ascii="Sylfaen" w:hAnsi="Sylfaen" w:cs="Sylfaen"/>
          <w:b/>
          <w:sz w:val="20"/>
          <w:szCs w:val="20"/>
        </w:rPr>
        <w:t>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მოსარგებლის</w:t>
      </w:r>
      <w:proofErr w:type="spellEnd"/>
      <w:r w:rsidRPr="0031168F">
        <w:rPr>
          <w:rFonts w:ascii="Sylfaen" w:hAnsi="Sylfaen"/>
          <w:sz w:val="20"/>
          <w:szCs w:val="20"/>
        </w:rPr>
        <w:t xml:space="preserve"> </w:t>
      </w:r>
      <w:proofErr w:type="spellStart"/>
      <w:proofErr w:type="gramStart"/>
      <w:r w:rsidRPr="0031168F">
        <w:rPr>
          <w:rFonts w:ascii="Sylfaen" w:hAnsi="Sylfaen" w:cs="Sylfaen"/>
          <w:sz w:val="20"/>
          <w:szCs w:val="20"/>
        </w:rPr>
        <w:t>მხრიდან</w:t>
      </w:r>
      <w:proofErr w:type="spellEnd"/>
      <w:r w:rsidRPr="0031168F">
        <w:rPr>
          <w:rFonts w:ascii="Sylfaen" w:hAnsi="Sylfaen" w:cs="Sylfaen"/>
          <w:sz w:val="20"/>
          <w:szCs w:val="20"/>
          <w:lang w:val="ka-GE"/>
        </w:rPr>
        <w:t>“</w:t>
      </w:r>
      <w:proofErr w:type="gramEnd"/>
      <w:r w:rsidRPr="0031168F">
        <w:rPr>
          <w:rFonts w:ascii="Sylfaen" w:hAnsi="Sylfaen"/>
          <w:sz w:val="20"/>
          <w:szCs w:val="20"/>
        </w:rPr>
        <w:t xml:space="preserve">. </w:t>
      </w:r>
    </w:p>
    <w:p w:rsidR="00ED3D5C" w:rsidRPr="0031168F" w:rsidRDefault="00ED3D5C" w:rsidP="00ED3D5C">
      <w:pPr>
        <w:pStyle w:val="ListParagraph"/>
        <w:spacing w:before="240" w:after="240"/>
        <w:ind w:left="0" w:firstLine="450"/>
        <w:jc w:val="both"/>
        <w:rPr>
          <w:rFonts w:ascii="Sylfaen" w:hAnsi="Sylfaen" w:cs="Sylfaen"/>
          <w:sz w:val="20"/>
          <w:szCs w:val="20"/>
          <w:lang w:val="ka-GE"/>
        </w:rPr>
      </w:pPr>
      <w:r w:rsidRPr="0031168F">
        <w:rPr>
          <w:rFonts w:ascii="Sylfaen" w:hAnsi="Sylfaen"/>
          <w:sz w:val="20"/>
          <w:szCs w:val="20"/>
          <w:lang w:val="ka-GE"/>
        </w:rPr>
        <w:t xml:space="preserve">შშმ ბავშვების ხშირი ავადობისა და სპეციფიკური მომსახურების საჭიროების გათვალისწინებით, პროგრამის  პირობებში შშმ ბავშვებისთვის დადგენილების </w:t>
      </w:r>
      <w:r w:rsidRPr="0031168F">
        <w:rPr>
          <w:rFonts w:ascii="Sylfaen" w:hAnsi="Sylfaen"/>
          <w:sz w:val="20"/>
          <w:szCs w:val="20"/>
        </w:rPr>
        <w:t xml:space="preserve">№1.2 </w:t>
      </w:r>
      <w:proofErr w:type="spellStart"/>
      <w:r w:rsidRPr="0031168F">
        <w:rPr>
          <w:rFonts w:ascii="Sylfaen" w:hAnsi="Sylfaen" w:cs="Sylfaen"/>
          <w:sz w:val="20"/>
          <w:szCs w:val="20"/>
        </w:rPr>
        <w:t>დანართში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მითითებული</w:t>
      </w:r>
      <w:proofErr w:type="spellEnd"/>
      <w:r w:rsidRPr="0031168F">
        <w:rPr>
          <w:rFonts w:ascii="Sylfaen" w:hAnsi="Sylfaen" w:cs="Sylfaen"/>
          <w:sz w:val="20"/>
          <w:szCs w:val="20"/>
          <w:lang w:val="ka-GE"/>
        </w:rPr>
        <w:t xml:space="preserve"> გადაუდებელი მდგომარეობების</w:t>
      </w:r>
      <w:r w:rsidRPr="0031168F">
        <w:rPr>
          <w:rFonts w:ascii="Sylfaen" w:hAnsi="Sylfaen"/>
          <w:sz w:val="20"/>
          <w:szCs w:val="20"/>
          <w:lang w:val="ka-GE"/>
        </w:rPr>
        <w:t xml:space="preserve"> </w:t>
      </w:r>
      <w:r w:rsidRPr="0031168F">
        <w:rPr>
          <w:rFonts w:ascii="Sylfaen" w:hAnsi="Sylfaen"/>
          <w:sz w:val="20"/>
          <w:szCs w:val="20"/>
          <w:lang w:val="ka-GE"/>
        </w:rPr>
        <w:lastRenderedPageBreak/>
        <w:t>დაფინანსების პირობების გაუმჯობესების კუთხით (</w:t>
      </w:r>
      <w:r w:rsidRPr="0031168F">
        <w:rPr>
          <w:rFonts w:ascii="Sylfaen" w:hAnsi="Sylfaen" w:cs="Sylfaen"/>
          <w:sz w:val="20"/>
          <w:szCs w:val="20"/>
          <w:lang w:val="ka-GE"/>
        </w:rPr>
        <w:t>6-17 წლის ასაკის მოზარდების პირობების მსგავსი დაფინანსება) დადგენილებაში შესაძლოა განხორციელდეს შემდეგის სახის ცვლილება.</w:t>
      </w:r>
    </w:p>
    <w:p w:rsidR="00ED3D5C" w:rsidRPr="0031168F" w:rsidRDefault="00ED3D5C" w:rsidP="00ED3D5C">
      <w:pPr>
        <w:pStyle w:val="ListParagraph"/>
        <w:spacing w:before="240" w:after="240"/>
        <w:ind w:left="0" w:firstLine="450"/>
        <w:jc w:val="both"/>
        <w:rPr>
          <w:rFonts w:ascii="Sylfaen" w:hAnsi="Sylfaen"/>
          <w:b/>
          <w:sz w:val="20"/>
          <w:szCs w:val="20"/>
          <w:lang w:val="ka-GE"/>
        </w:rPr>
      </w:pPr>
      <w:r w:rsidRPr="0031168F">
        <w:rPr>
          <w:rFonts w:ascii="Sylfaen" w:hAnsi="Sylfaen"/>
          <w:b/>
          <w:sz w:val="20"/>
          <w:szCs w:val="20"/>
          <w:lang w:val="ka-GE"/>
        </w:rPr>
        <w:t>დადგენილების დანართი N1.3-ის „გ.ა</w:t>
      </w:r>
      <w:r w:rsidRPr="0031168F">
        <w:rPr>
          <w:rFonts w:ascii="Sylfaen" w:hAnsi="Sylfaen"/>
          <w:b/>
          <w:sz w:val="20"/>
          <w:szCs w:val="20"/>
          <w:vertAlign w:val="superscript"/>
          <w:lang w:val="ka-GE"/>
        </w:rPr>
        <w:t>1</w:t>
      </w:r>
      <w:r w:rsidRPr="0031168F">
        <w:rPr>
          <w:rFonts w:ascii="Sylfaen" w:hAnsi="Sylfaen"/>
          <w:b/>
          <w:sz w:val="20"/>
          <w:szCs w:val="20"/>
          <w:lang w:val="ka-GE"/>
        </w:rPr>
        <w:t>“ ჩამოყალიბდეს შემდეგი სახით:</w:t>
      </w:r>
    </w:p>
    <w:p w:rsidR="00ED3D5C" w:rsidRPr="0031168F" w:rsidRDefault="00ED3D5C" w:rsidP="00ED3D5C">
      <w:pPr>
        <w:pStyle w:val="ListParagraph"/>
        <w:spacing w:before="240" w:after="240"/>
        <w:ind w:left="0" w:firstLine="450"/>
        <w:jc w:val="both"/>
        <w:rPr>
          <w:rFonts w:ascii="Sylfaen" w:hAnsi="Sylfaen" w:cs="Sylfaen"/>
          <w:sz w:val="20"/>
          <w:szCs w:val="20"/>
          <w:lang w:val="ka-GE"/>
        </w:rPr>
      </w:pPr>
      <w:r w:rsidRPr="0031168F">
        <w:rPr>
          <w:rFonts w:ascii="Sylfaen" w:hAnsi="Sylfaen"/>
          <w:sz w:val="20"/>
          <w:szCs w:val="20"/>
          <w:lang w:val="ka-GE"/>
        </w:rPr>
        <w:t>„გ.ა</w:t>
      </w:r>
      <w:r w:rsidRPr="0031168F">
        <w:rPr>
          <w:rFonts w:ascii="Sylfaen" w:hAnsi="Sylfaen"/>
          <w:sz w:val="20"/>
          <w:szCs w:val="20"/>
          <w:vertAlign w:val="superscript"/>
          <w:lang w:val="ka-GE"/>
        </w:rPr>
        <w:t>1</w:t>
      </w:r>
      <w:r w:rsidRPr="0031168F">
        <w:rPr>
          <w:rFonts w:ascii="Sylfaen" w:hAnsi="Sylfaen"/>
          <w:sz w:val="20"/>
          <w:szCs w:val="20"/>
          <w:lang w:val="ka-GE"/>
        </w:rPr>
        <w:t>) „</w:t>
      </w:r>
      <w:proofErr w:type="spellStart"/>
      <w:r w:rsidRPr="0031168F">
        <w:rPr>
          <w:rFonts w:ascii="Sylfaen" w:hAnsi="Sylfaen" w:cs="Sylfaen"/>
          <w:sz w:val="20"/>
          <w:szCs w:val="20"/>
        </w:rPr>
        <w:t>გ</w:t>
      </w:r>
      <w:r w:rsidRPr="0031168F">
        <w:rPr>
          <w:rFonts w:ascii="Sylfaen" w:hAnsi="Sylfaen"/>
          <w:sz w:val="20"/>
          <w:szCs w:val="20"/>
        </w:rPr>
        <w:t>.</w:t>
      </w:r>
      <w:r w:rsidRPr="0031168F">
        <w:rPr>
          <w:rFonts w:ascii="Sylfaen" w:hAnsi="Sylfaen" w:cs="Sylfaen"/>
          <w:sz w:val="20"/>
          <w:szCs w:val="20"/>
        </w:rPr>
        <w:t>ა</w:t>
      </w:r>
      <w:proofErr w:type="spellEnd"/>
      <w:r w:rsidRPr="0031168F">
        <w:rPr>
          <w:rFonts w:ascii="Sylfaen" w:hAnsi="Sylfaen" w:cs="Sylfaen"/>
          <w:sz w:val="20"/>
          <w:szCs w:val="20"/>
          <w:lang w:val="ka-GE"/>
        </w:rPr>
        <w:t>.ბ</w:t>
      </w:r>
      <w:r w:rsidRPr="0031168F">
        <w:rPr>
          <w:rFonts w:ascii="Sylfaen" w:hAnsi="Sylfaen"/>
          <w:sz w:val="20"/>
          <w:szCs w:val="20"/>
        </w:rPr>
        <w:t xml:space="preserve">“ </w:t>
      </w:r>
      <w:proofErr w:type="spellStart"/>
      <w:r w:rsidRPr="0031168F">
        <w:rPr>
          <w:rFonts w:ascii="Sylfaen" w:hAnsi="Sylfaen" w:cs="Sylfaen"/>
          <w:sz w:val="20"/>
          <w:szCs w:val="20"/>
        </w:rPr>
        <w:t>ქვეპუნქტით</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განსაზღვრული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მომსახურება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ითვალისწინებს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ასანაზღაურებელი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თანხის</w:t>
      </w:r>
      <w:proofErr w:type="spellEnd"/>
      <w:r w:rsidRPr="0031168F">
        <w:rPr>
          <w:rFonts w:ascii="Sylfaen" w:hAnsi="Sylfaen"/>
          <w:sz w:val="20"/>
          <w:szCs w:val="20"/>
        </w:rPr>
        <w:t xml:space="preserve"> 20%-</w:t>
      </w:r>
      <w:proofErr w:type="spellStart"/>
      <w:r w:rsidRPr="0031168F">
        <w:rPr>
          <w:rFonts w:ascii="Sylfaen" w:hAnsi="Sylfaen" w:cs="Sylfaen"/>
          <w:sz w:val="20"/>
          <w:szCs w:val="20"/>
        </w:rPr>
        <w:t>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მოსარგებლის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მხრიდან</w:t>
      </w:r>
      <w:proofErr w:type="spellEnd"/>
      <w:r w:rsidRPr="0031168F">
        <w:rPr>
          <w:rFonts w:ascii="Sylfaen" w:hAnsi="Sylfaen" w:cs="Sylfaen"/>
          <w:sz w:val="20"/>
          <w:szCs w:val="20"/>
          <w:lang w:val="ka-GE"/>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ითვალისწინებს</w:t>
      </w:r>
      <w:proofErr w:type="spellEnd"/>
      <w:r w:rsidRPr="0031168F">
        <w:rPr>
          <w:rFonts w:ascii="Sylfaen" w:hAnsi="Sylfaen"/>
          <w:sz w:val="20"/>
          <w:szCs w:val="20"/>
        </w:rPr>
        <w:t xml:space="preserve"> </w:t>
      </w:r>
      <w:r w:rsidRPr="0031168F">
        <w:rPr>
          <w:rFonts w:ascii="Sylfaen" w:hAnsi="Sylfaen" w:cs="Sylfaen"/>
          <w:sz w:val="20"/>
          <w:szCs w:val="20"/>
          <w:lang w:val="ka-GE"/>
        </w:rPr>
        <w:t>„გ.</w:t>
      </w:r>
      <w:proofErr w:type="gramStart"/>
      <w:r w:rsidRPr="0031168F">
        <w:rPr>
          <w:rFonts w:ascii="Sylfaen" w:hAnsi="Sylfaen" w:cs="Sylfaen"/>
          <w:sz w:val="20"/>
          <w:szCs w:val="20"/>
          <w:lang w:val="ka-GE"/>
        </w:rPr>
        <w:t>ა.ა</w:t>
      </w:r>
      <w:proofErr w:type="gramEnd"/>
      <w:r w:rsidRPr="0031168F">
        <w:rPr>
          <w:rFonts w:ascii="Sylfaen" w:hAnsi="Sylfaen" w:cs="Sylfaen"/>
          <w:sz w:val="20"/>
          <w:szCs w:val="20"/>
          <w:lang w:val="ka-GE"/>
        </w:rPr>
        <w:t>“ ქვეპუნქტით განსაზღვრული მომსახურება,</w:t>
      </w:r>
      <w:r w:rsidRPr="0031168F">
        <w:rPr>
          <w:rFonts w:ascii="Sylfaen" w:hAnsi="Sylfaen"/>
          <w:sz w:val="20"/>
          <w:szCs w:val="20"/>
        </w:rPr>
        <w:t xml:space="preserve"> </w:t>
      </w:r>
      <w:proofErr w:type="spellStart"/>
      <w:r w:rsidRPr="0031168F">
        <w:rPr>
          <w:rFonts w:ascii="Sylfaen" w:hAnsi="Sylfaen" w:cs="Sylfaen"/>
          <w:sz w:val="20"/>
          <w:szCs w:val="20"/>
        </w:rPr>
        <w:t>ნეონატალური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ასაკში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დაწყებული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შემთხვევები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ასევე</w:t>
      </w:r>
      <w:proofErr w:type="spellEnd"/>
      <w:r w:rsidRPr="0031168F">
        <w:rPr>
          <w:rFonts w:ascii="Sylfaen" w:hAnsi="Sylfaen"/>
          <w:sz w:val="20"/>
          <w:szCs w:val="20"/>
        </w:rPr>
        <w:t xml:space="preserve"> </w:t>
      </w:r>
      <w:proofErr w:type="spellStart"/>
      <w:r w:rsidRPr="0031168F">
        <w:rPr>
          <w:rFonts w:ascii="Sylfaen" w:hAnsi="Sylfaen" w:cs="Sylfaen"/>
          <w:sz w:val="20"/>
          <w:szCs w:val="20"/>
        </w:rPr>
        <w:t>ინკურაბელურ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პაციენტთა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პალიატურ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მზრუნველობასთან</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დაკავშირებული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ჰოსპიტალიზაცია</w:t>
      </w:r>
      <w:proofErr w:type="spellEnd"/>
      <w:r w:rsidRPr="0031168F">
        <w:rPr>
          <w:rFonts w:ascii="Sylfaen" w:hAnsi="Sylfaen"/>
          <w:sz w:val="20"/>
          <w:szCs w:val="20"/>
        </w:rPr>
        <w:t xml:space="preserve"> 0-5 </w:t>
      </w:r>
      <w:proofErr w:type="spellStart"/>
      <w:r w:rsidRPr="0031168F">
        <w:rPr>
          <w:rFonts w:ascii="Sylfaen" w:hAnsi="Sylfaen" w:cs="Sylfaen"/>
          <w:sz w:val="20"/>
          <w:szCs w:val="20"/>
        </w:rPr>
        <w:t>წლის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ჩათვლით</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მოსარგებლეებისა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და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შშმ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ბავშვებისათვის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ასევე</w:t>
      </w:r>
      <w:proofErr w:type="spellEnd"/>
      <w:r w:rsidRPr="0031168F">
        <w:rPr>
          <w:rFonts w:ascii="Sylfaen" w:hAnsi="Sylfaen"/>
          <w:sz w:val="20"/>
          <w:szCs w:val="20"/>
        </w:rPr>
        <w:t xml:space="preserve"> </w:t>
      </w:r>
      <w:proofErr w:type="spellStart"/>
      <w:r w:rsidRPr="0031168F">
        <w:rPr>
          <w:rFonts w:ascii="Sylfaen" w:hAnsi="Sylfaen" w:cs="Sylfaen"/>
          <w:sz w:val="20"/>
          <w:szCs w:val="20"/>
        </w:rPr>
        <w:t>თანაგადახდას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არ</w:t>
      </w:r>
      <w:proofErr w:type="spellEnd"/>
      <w:r w:rsidRPr="0031168F">
        <w:rPr>
          <w:rFonts w:ascii="Sylfaen" w:hAnsi="Sylfaen"/>
          <w:sz w:val="20"/>
          <w:szCs w:val="20"/>
        </w:rPr>
        <w:t xml:space="preserve"> </w:t>
      </w:r>
      <w:proofErr w:type="spellStart"/>
      <w:r w:rsidRPr="0031168F">
        <w:rPr>
          <w:rFonts w:ascii="Sylfaen" w:hAnsi="Sylfaen" w:cs="Sylfaen"/>
          <w:sz w:val="20"/>
          <w:szCs w:val="20"/>
        </w:rPr>
        <w:t>ექვემდებარება</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საპენსიო</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ასაკის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ვეტერანის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ან</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მკვეთრად</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გამოხატული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შშმ</w:t>
      </w:r>
      <w:proofErr w:type="spellEnd"/>
      <w:r w:rsidRPr="0031168F">
        <w:rPr>
          <w:rFonts w:ascii="Sylfaen" w:hAnsi="Sylfaen"/>
          <w:sz w:val="20"/>
          <w:szCs w:val="20"/>
        </w:rPr>
        <w:t xml:space="preserve"> </w:t>
      </w:r>
      <w:proofErr w:type="spellStart"/>
      <w:r w:rsidRPr="0031168F">
        <w:rPr>
          <w:rFonts w:ascii="Sylfaen" w:hAnsi="Sylfaen" w:cs="Sylfaen"/>
          <w:sz w:val="20"/>
          <w:szCs w:val="20"/>
        </w:rPr>
        <w:t>ვეტერანისთვის</w:t>
      </w:r>
      <w:proofErr w:type="spellEnd"/>
      <w:r w:rsidRPr="0031168F">
        <w:rPr>
          <w:rFonts w:ascii="Sylfaen" w:hAnsi="Sylfaen"/>
          <w:sz w:val="20"/>
          <w:szCs w:val="20"/>
        </w:rPr>
        <w:t xml:space="preserve"> </w:t>
      </w:r>
      <w:proofErr w:type="spellStart"/>
      <w:r w:rsidRPr="0031168F">
        <w:rPr>
          <w:rFonts w:ascii="Sylfaen" w:hAnsi="Sylfaen" w:cs="Sylfaen"/>
          <w:sz w:val="20"/>
          <w:szCs w:val="20"/>
        </w:rPr>
        <w:t>გაწეული</w:t>
      </w:r>
      <w:proofErr w:type="spellEnd"/>
      <w:r w:rsidRPr="0031168F">
        <w:rPr>
          <w:rFonts w:ascii="Sylfaen" w:hAnsi="Sylfaen"/>
          <w:sz w:val="20"/>
          <w:szCs w:val="20"/>
        </w:rPr>
        <w:t xml:space="preserve"> </w:t>
      </w:r>
      <w:proofErr w:type="spellStart"/>
      <w:r w:rsidRPr="0031168F">
        <w:rPr>
          <w:rFonts w:ascii="Sylfaen" w:hAnsi="Sylfaen" w:cs="Sylfaen"/>
          <w:sz w:val="20"/>
          <w:szCs w:val="20"/>
        </w:rPr>
        <w:t>სამედიცინო</w:t>
      </w:r>
      <w:proofErr w:type="spellEnd"/>
      <w:r w:rsidRPr="0031168F">
        <w:rPr>
          <w:rFonts w:ascii="Sylfaen" w:hAnsi="Sylfaen"/>
          <w:sz w:val="20"/>
          <w:szCs w:val="20"/>
        </w:rPr>
        <w:t xml:space="preserve"> </w:t>
      </w:r>
      <w:proofErr w:type="spellStart"/>
      <w:r w:rsidRPr="0031168F">
        <w:rPr>
          <w:rFonts w:ascii="Sylfaen" w:hAnsi="Sylfaen" w:cs="Sylfaen"/>
          <w:sz w:val="20"/>
          <w:szCs w:val="20"/>
        </w:rPr>
        <w:t>მომსახურება</w:t>
      </w:r>
      <w:proofErr w:type="spellEnd"/>
      <w:r w:rsidRPr="0031168F">
        <w:rPr>
          <w:rFonts w:ascii="Sylfaen" w:hAnsi="Sylfaen" w:cs="Sylfaen"/>
          <w:sz w:val="20"/>
          <w:szCs w:val="20"/>
          <w:lang w:val="ka-GE"/>
        </w:rPr>
        <w:t>“.</w:t>
      </w:r>
    </w:p>
    <w:p w:rsidR="003E3837" w:rsidRDefault="003E3837"/>
    <w:sectPr w:rsidR="003E3837" w:rsidSect="007101CE">
      <w:footerReference w:type="default" r:id="rId9"/>
      <w:pgSz w:w="12240" w:h="15840"/>
      <w:pgMar w:top="900" w:right="758" w:bottom="993" w:left="709"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166B">
      <w:pPr>
        <w:spacing w:after="0" w:line="240" w:lineRule="auto"/>
      </w:pPr>
      <w:r>
        <w:separator/>
      </w:r>
    </w:p>
  </w:endnote>
  <w:endnote w:type="continuationSeparator" w:id="0">
    <w:p w:rsidR="00000000" w:rsidRDefault="0039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276754"/>
      <w:docPartObj>
        <w:docPartGallery w:val="Page Numbers (Bottom of Page)"/>
        <w:docPartUnique/>
      </w:docPartObj>
    </w:sdtPr>
    <w:sdtEndPr>
      <w:rPr>
        <w:noProof/>
      </w:rPr>
    </w:sdtEndPr>
    <w:sdtContent>
      <w:p w:rsidR="00536DF6" w:rsidRDefault="001B6883">
        <w:pPr>
          <w:pStyle w:val="Footer"/>
          <w:jc w:val="right"/>
        </w:pPr>
        <w:r>
          <w:fldChar w:fldCharType="begin"/>
        </w:r>
        <w:r>
          <w:instrText xml:space="preserve"> PAGE   \* MERGEFORMAT </w:instrText>
        </w:r>
        <w:r>
          <w:fldChar w:fldCharType="separate"/>
        </w:r>
        <w:r w:rsidR="0039166B">
          <w:rPr>
            <w:noProof/>
          </w:rPr>
          <w:t>3</w:t>
        </w:r>
        <w:r>
          <w:rPr>
            <w:noProof/>
          </w:rPr>
          <w:fldChar w:fldCharType="end"/>
        </w:r>
      </w:p>
    </w:sdtContent>
  </w:sdt>
  <w:p w:rsidR="00DA4034" w:rsidRDefault="003916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166B">
      <w:pPr>
        <w:spacing w:after="0" w:line="240" w:lineRule="auto"/>
      </w:pPr>
      <w:r>
        <w:separator/>
      </w:r>
    </w:p>
  </w:footnote>
  <w:footnote w:type="continuationSeparator" w:id="0">
    <w:p w:rsidR="00000000" w:rsidRDefault="00391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47DF"/>
    <w:multiLevelType w:val="hybridMultilevel"/>
    <w:tmpl w:val="A29CA7D8"/>
    <w:lvl w:ilvl="0" w:tplc="5CA8EC84">
      <w:start w:val="1"/>
      <w:numFmt w:val="decimal"/>
      <w:lvlText w:val="%1."/>
      <w:lvlJc w:val="left"/>
      <w:pPr>
        <w:ind w:left="928"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 w15:restartNumberingAfterBreak="0">
    <w:nsid w:val="29DA4D85"/>
    <w:multiLevelType w:val="hybridMultilevel"/>
    <w:tmpl w:val="D7B0233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5C"/>
    <w:rsid w:val="00124763"/>
    <w:rsid w:val="00131D93"/>
    <w:rsid w:val="0018017C"/>
    <w:rsid w:val="00181980"/>
    <w:rsid w:val="001B6883"/>
    <w:rsid w:val="0039166B"/>
    <w:rsid w:val="003E3837"/>
    <w:rsid w:val="00550AFF"/>
    <w:rsid w:val="006A6FD1"/>
    <w:rsid w:val="007101CE"/>
    <w:rsid w:val="0087148C"/>
    <w:rsid w:val="008A3442"/>
    <w:rsid w:val="00AE74D4"/>
    <w:rsid w:val="00ED3D5C"/>
    <w:rsid w:val="00FE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9C6F"/>
  <w15:chartTrackingRefBased/>
  <w15:docId w15:val="{DA599314-857C-4970-A1A3-ED5F301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D5C"/>
    <w:pPr>
      <w:ind w:left="720"/>
      <w:contextualSpacing/>
    </w:pPr>
  </w:style>
  <w:style w:type="paragraph" w:styleId="Footer">
    <w:name w:val="footer"/>
    <w:basedOn w:val="Normal"/>
    <w:link w:val="FooterChar"/>
    <w:uiPriority w:val="99"/>
    <w:unhideWhenUsed/>
    <w:rsid w:val="00ED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949339">
      <w:bodyDiv w:val="1"/>
      <w:marLeft w:val="0"/>
      <w:marRight w:val="0"/>
      <w:marTop w:val="0"/>
      <w:marBottom w:val="0"/>
      <w:divBdr>
        <w:top w:val="none" w:sz="0" w:space="0" w:color="auto"/>
        <w:left w:val="none" w:sz="0" w:space="0" w:color="auto"/>
        <w:bottom w:val="none" w:sz="0" w:space="0" w:color="auto"/>
        <w:right w:val="none" w:sz="0" w:space="0" w:color="auto"/>
      </w:divBdr>
      <w:divsChild>
        <w:div w:id="1659378407">
          <w:marLeft w:val="720"/>
          <w:marRight w:val="0"/>
          <w:marTop w:val="0"/>
          <w:marBottom w:val="200"/>
          <w:divBdr>
            <w:top w:val="none" w:sz="0" w:space="0" w:color="auto"/>
            <w:left w:val="none" w:sz="0" w:space="0" w:color="auto"/>
            <w:bottom w:val="none" w:sz="0" w:space="0" w:color="auto"/>
            <w:right w:val="none" w:sz="0" w:space="0" w:color="auto"/>
          </w:divBdr>
        </w:div>
        <w:div w:id="501117500">
          <w:marLeft w:val="0"/>
          <w:marRight w:val="0"/>
          <w:marTop w:val="0"/>
          <w:marBottom w:val="200"/>
          <w:divBdr>
            <w:top w:val="none" w:sz="0" w:space="0" w:color="auto"/>
            <w:left w:val="none" w:sz="0" w:space="0" w:color="auto"/>
            <w:bottom w:val="none" w:sz="0" w:space="0" w:color="auto"/>
            <w:right w:val="none" w:sz="0" w:space="0" w:color="auto"/>
          </w:divBdr>
        </w:div>
        <w:div w:id="78137994">
          <w:marLeft w:val="0"/>
          <w:marRight w:val="0"/>
          <w:marTop w:val="0"/>
          <w:marBottom w:val="200"/>
          <w:divBdr>
            <w:top w:val="none" w:sz="0" w:space="0" w:color="auto"/>
            <w:left w:val="none" w:sz="0" w:space="0" w:color="auto"/>
            <w:bottom w:val="none" w:sz="0" w:space="0" w:color="auto"/>
            <w:right w:val="none" w:sz="0" w:space="0" w:color="auto"/>
          </w:divBdr>
        </w:div>
        <w:div w:id="1015427675">
          <w:marLeft w:val="0"/>
          <w:marRight w:val="0"/>
          <w:marTop w:val="0"/>
          <w:marBottom w:val="200"/>
          <w:divBdr>
            <w:top w:val="none" w:sz="0" w:space="0" w:color="auto"/>
            <w:left w:val="none" w:sz="0" w:space="0" w:color="auto"/>
            <w:bottom w:val="none" w:sz="0" w:space="0" w:color="auto"/>
            <w:right w:val="none" w:sz="0" w:space="0" w:color="auto"/>
          </w:divBdr>
        </w:div>
        <w:div w:id="1060910151">
          <w:marLeft w:val="720"/>
          <w:marRight w:val="0"/>
          <w:marTop w:val="0"/>
          <w:marBottom w:val="200"/>
          <w:divBdr>
            <w:top w:val="none" w:sz="0" w:space="0" w:color="auto"/>
            <w:left w:val="none" w:sz="0" w:space="0" w:color="auto"/>
            <w:bottom w:val="none" w:sz="0" w:space="0" w:color="auto"/>
            <w:right w:val="none" w:sz="0" w:space="0" w:color="auto"/>
          </w:divBdr>
        </w:div>
        <w:div w:id="446119044">
          <w:marLeft w:val="720"/>
          <w:marRight w:val="0"/>
          <w:marTop w:val="0"/>
          <w:marBottom w:val="200"/>
          <w:divBdr>
            <w:top w:val="none" w:sz="0" w:space="0" w:color="auto"/>
            <w:left w:val="none" w:sz="0" w:space="0" w:color="auto"/>
            <w:bottom w:val="none" w:sz="0" w:space="0" w:color="auto"/>
            <w:right w:val="none" w:sz="0" w:space="0" w:color="auto"/>
          </w:divBdr>
        </w:div>
      </w:divsChild>
    </w:div>
    <w:div w:id="1983004248">
      <w:bodyDiv w:val="1"/>
      <w:marLeft w:val="0"/>
      <w:marRight w:val="0"/>
      <w:marTop w:val="0"/>
      <w:marBottom w:val="0"/>
      <w:divBdr>
        <w:top w:val="none" w:sz="0" w:space="0" w:color="auto"/>
        <w:left w:val="none" w:sz="0" w:space="0" w:color="auto"/>
        <w:bottom w:val="none" w:sz="0" w:space="0" w:color="auto"/>
        <w:right w:val="none" w:sz="0" w:space="0" w:color="auto"/>
      </w:divBdr>
      <w:divsChild>
        <w:div w:id="1799756992">
          <w:marLeft w:val="720"/>
          <w:marRight w:val="0"/>
          <w:marTop w:val="0"/>
          <w:marBottom w:val="200"/>
          <w:divBdr>
            <w:top w:val="none" w:sz="0" w:space="0" w:color="auto"/>
            <w:left w:val="none" w:sz="0" w:space="0" w:color="auto"/>
            <w:bottom w:val="none" w:sz="0" w:space="0" w:color="auto"/>
            <w:right w:val="none" w:sz="0" w:space="0" w:color="auto"/>
          </w:divBdr>
        </w:div>
        <w:div w:id="290982093">
          <w:marLeft w:val="0"/>
          <w:marRight w:val="0"/>
          <w:marTop w:val="0"/>
          <w:marBottom w:val="200"/>
          <w:divBdr>
            <w:top w:val="none" w:sz="0" w:space="0" w:color="auto"/>
            <w:left w:val="none" w:sz="0" w:space="0" w:color="auto"/>
            <w:bottom w:val="none" w:sz="0" w:space="0" w:color="auto"/>
            <w:right w:val="none" w:sz="0" w:space="0" w:color="auto"/>
          </w:divBdr>
        </w:div>
        <w:div w:id="854002003">
          <w:marLeft w:val="0"/>
          <w:marRight w:val="0"/>
          <w:marTop w:val="0"/>
          <w:marBottom w:val="200"/>
          <w:divBdr>
            <w:top w:val="none" w:sz="0" w:space="0" w:color="auto"/>
            <w:left w:val="none" w:sz="0" w:space="0" w:color="auto"/>
            <w:bottom w:val="none" w:sz="0" w:space="0" w:color="auto"/>
            <w:right w:val="none" w:sz="0" w:space="0" w:color="auto"/>
          </w:divBdr>
        </w:div>
        <w:div w:id="1922830407">
          <w:marLeft w:val="72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maghlakelidze\Desktop\NCSp%20&#4313;&#4317;&#4307;&#4308;&#4305;&#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NCSp%20&#4313;&#4317;&#4307;&#4308;&#4305;&#431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Sheet2!$A$18</c:f>
              <c:strCache>
                <c:ptCount val="1"/>
                <c:pt idx="0">
                  <c:v>ბარიატრია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Sheet2!$B$17:$F$17</c:f>
              <c:numCache>
                <c:formatCode>General</c:formatCode>
                <c:ptCount val="5"/>
                <c:pt idx="0">
                  <c:v>2015</c:v>
                </c:pt>
                <c:pt idx="1">
                  <c:v>2016</c:v>
                </c:pt>
                <c:pt idx="2">
                  <c:v>2017</c:v>
                </c:pt>
                <c:pt idx="3">
                  <c:v>2018</c:v>
                </c:pt>
                <c:pt idx="4">
                  <c:v>2019</c:v>
                </c:pt>
              </c:numCache>
            </c:numRef>
          </c:cat>
          <c:val>
            <c:numRef>
              <c:f>Sheet2!$B$18:$F$18</c:f>
              <c:numCache>
                <c:formatCode>_(* #,##0.00_);_(* \(#,##0.00\);_(* "-"??_);_(@_)</c:formatCode>
                <c:ptCount val="5"/>
                <c:pt idx="0">
                  <c:v>1152701.5900000001</c:v>
                </c:pt>
                <c:pt idx="1">
                  <c:v>2086395.0499999998</c:v>
                </c:pt>
                <c:pt idx="2">
                  <c:v>2511653.4000000004</c:v>
                </c:pt>
                <c:pt idx="3">
                  <c:v>5243827.28</c:v>
                </c:pt>
                <c:pt idx="4">
                  <c:v>2950412.95</c:v>
                </c:pt>
              </c:numCache>
            </c:numRef>
          </c:val>
          <c:extLst>
            <c:ext xmlns:c16="http://schemas.microsoft.com/office/drawing/2014/chart" uri="{C3380CC4-5D6E-409C-BE32-E72D297353CC}">
              <c16:uniqueId val="{00000000-9CFF-499A-89ED-F173BA9B69A8}"/>
            </c:ext>
          </c:extLst>
        </c:ser>
        <c:dLbls>
          <c:showLegendKey val="0"/>
          <c:showVal val="0"/>
          <c:showCatName val="0"/>
          <c:showSerName val="0"/>
          <c:showPercent val="0"/>
          <c:showBubbleSize val="0"/>
        </c:dLbls>
        <c:gapWidth val="219"/>
        <c:overlap val="-27"/>
        <c:axId val="408535784"/>
        <c:axId val="408531192"/>
      </c:barChart>
      <c:catAx>
        <c:axId val="408535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31192"/>
        <c:crosses val="autoZero"/>
        <c:auto val="1"/>
        <c:lblAlgn val="ctr"/>
        <c:lblOffset val="100"/>
        <c:noMultiLvlLbl val="0"/>
      </c:catAx>
      <c:valAx>
        <c:axId val="40853119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3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Sheet2!$A$38</c:f>
              <c:strCache>
                <c:ptCount val="1"/>
                <c:pt idx="0">
                  <c:v>ქვემო კიდურების ვენების აბლაცია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Sheet2!$B$37:$F$37</c:f>
              <c:numCache>
                <c:formatCode>General</c:formatCode>
                <c:ptCount val="5"/>
                <c:pt idx="0">
                  <c:v>2015</c:v>
                </c:pt>
                <c:pt idx="1">
                  <c:v>2016</c:v>
                </c:pt>
                <c:pt idx="2">
                  <c:v>2017</c:v>
                </c:pt>
                <c:pt idx="3">
                  <c:v>2018</c:v>
                </c:pt>
                <c:pt idx="4">
                  <c:v>2019</c:v>
                </c:pt>
              </c:numCache>
            </c:numRef>
          </c:cat>
          <c:val>
            <c:numRef>
              <c:f>Sheet2!$B$38:$F$38</c:f>
              <c:numCache>
                <c:formatCode>_(* #,##0.00_);_(* \(#,##0.00\);_(* "-"??_);_(@_)</c:formatCode>
                <c:ptCount val="5"/>
                <c:pt idx="0">
                  <c:v>78765.37000000001</c:v>
                </c:pt>
                <c:pt idx="1">
                  <c:v>190783.89</c:v>
                </c:pt>
                <c:pt idx="2">
                  <c:v>523006.59000000008</c:v>
                </c:pt>
                <c:pt idx="3">
                  <c:v>625324.79</c:v>
                </c:pt>
                <c:pt idx="4">
                  <c:v>270391.59000000003</c:v>
                </c:pt>
              </c:numCache>
            </c:numRef>
          </c:val>
          <c:extLst>
            <c:ext xmlns:c16="http://schemas.microsoft.com/office/drawing/2014/chart" uri="{C3380CC4-5D6E-409C-BE32-E72D297353CC}">
              <c16:uniqueId val="{00000000-E19B-406B-BE8F-1512BBA9ACA2}"/>
            </c:ext>
          </c:extLst>
        </c:ser>
        <c:dLbls>
          <c:showLegendKey val="0"/>
          <c:showVal val="0"/>
          <c:showCatName val="0"/>
          <c:showSerName val="0"/>
          <c:showPercent val="0"/>
          <c:showBubbleSize val="0"/>
        </c:dLbls>
        <c:gapWidth val="219"/>
        <c:overlap val="-27"/>
        <c:axId val="498616568"/>
        <c:axId val="498621160"/>
      </c:barChart>
      <c:catAx>
        <c:axId val="498616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621160"/>
        <c:crosses val="autoZero"/>
        <c:auto val="1"/>
        <c:lblAlgn val="ctr"/>
        <c:lblOffset val="100"/>
        <c:noMultiLvlLbl val="0"/>
      </c:catAx>
      <c:valAx>
        <c:axId val="49862116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616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maghlakelidze</dc:creator>
  <cp:keywords/>
  <dc:description/>
  <cp:lastModifiedBy>maia maghlakelidze</cp:lastModifiedBy>
  <cp:revision>3</cp:revision>
  <dcterms:created xsi:type="dcterms:W3CDTF">2019-07-03T21:37:00Z</dcterms:created>
  <dcterms:modified xsi:type="dcterms:W3CDTF">2019-07-03T21:53:00Z</dcterms:modified>
</cp:coreProperties>
</file>